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7F8D" w14:textId="1450DEDA" w:rsidR="00E43C36" w:rsidRPr="00813056" w:rsidRDefault="00555743" w:rsidP="00813056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13056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4E974CC2" wp14:editId="1D688DA3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FFFEC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813056">
        <w:rPr>
          <w:rFonts w:asciiTheme="majorBidi" w:hAnsiTheme="majorBidi" w:cstheme="majorBidi"/>
          <w:b/>
          <w:bCs/>
          <w:sz w:val="24"/>
          <w:szCs w:val="24"/>
        </w:rPr>
        <w:t xml:space="preserve">Course Specification for </w:t>
      </w:r>
      <w:r w:rsidR="00813056" w:rsidRPr="00813056">
        <w:rPr>
          <w:rFonts w:asciiTheme="majorBidi" w:hAnsiTheme="majorBidi" w:cstheme="majorBidi"/>
          <w:b/>
          <w:bCs/>
          <w:sz w:val="24"/>
          <w:szCs w:val="24"/>
        </w:rPr>
        <w:t>Psycholinguistics</w:t>
      </w: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2245"/>
        <w:gridCol w:w="3330"/>
        <w:gridCol w:w="1646"/>
        <w:gridCol w:w="2404"/>
      </w:tblGrid>
      <w:tr w:rsidR="00E43C36" w:rsidRPr="00813056" w14:paraId="5CD35BB8" w14:textId="77777777" w:rsidTr="00813056">
        <w:tc>
          <w:tcPr>
            <w:tcW w:w="2245" w:type="dxa"/>
            <w:shd w:val="clear" w:color="auto" w:fill="E2EFD9" w:themeFill="accent6" w:themeFillTint="33"/>
          </w:tcPr>
          <w:p w14:paraId="0EE36E6A" w14:textId="7D820C9C" w:rsidR="00E43C36" w:rsidRPr="00813056" w:rsidRDefault="00E43C36" w:rsidP="0081305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30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380" w:type="dxa"/>
            <w:gridSpan w:val="3"/>
          </w:tcPr>
          <w:p w14:paraId="460F87A3" w14:textId="063ABF65" w:rsidR="00E43C36" w:rsidRPr="00813056" w:rsidRDefault="00E43C36" w:rsidP="0081305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13056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813056" w14:paraId="31673008" w14:textId="77777777" w:rsidTr="00813056">
        <w:tc>
          <w:tcPr>
            <w:tcW w:w="2245" w:type="dxa"/>
            <w:shd w:val="clear" w:color="auto" w:fill="E2EFD9" w:themeFill="accent6" w:themeFillTint="33"/>
          </w:tcPr>
          <w:p w14:paraId="33728413" w14:textId="77777777" w:rsidR="00E43C36" w:rsidRPr="00813056" w:rsidRDefault="00E43C36" w:rsidP="0081305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30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380" w:type="dxa"/>
            <w:gridSpan w:val="3"/>
          </w:tcPr>
          <w:p w14:paraId="4B41ABC3" w14:textId="77777777" w:rsidR="00E43C36" w:rsidRPr="00813056" w:rsidRDefault="00E43C36" w:rsidP="0081305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13056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813056" w14:paraId="1BDAFB27" w14:textId="77777777" w:rsidTr="00BC24BD">
        <w:tc>
          <w:tcPr>
            <w:tcW w:w="2245" w:type="dxa"/>
            <w:shd w:val="clear" w:color="auto" w:fill="E2EFD9" w:themeFill="accent6" w:themeFillTint="33"/>
          </w:tcPr>
          <w:p w14:paraId="5EAA74BA" w14:textId="77777777" w:rsidR="00E43C36" w:rsidRPr="00813056" w:rsidRDefault="00E43C36" w:rsidP="0081305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Hlk36154803"/>
            <w:r w:rsidRPr="008130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3330" w:type="dxa"/>
          </w:tcPr>
          <w:p w14:paraId="4C4CEAE5" w14:textId="6EA347A6" w:rsidR="00E43C36" w:rsidRPr="00813056" w:rsidRDefault="00AE5B4F" w:rsidP="0081305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13056">
              <w:rPr>
                <w:rFonts w:asciiTheme="majorBidi" w:hAnsiTheme="majorBidi" w:cstheme="majorBidi"/>
                <w:sz w:val="24"/>
                <w:szCs w:val="24"/>
              </w:rPr>
              <w:t>Psycholinguistics</w:t>
            </w:r>
          </w:p>
        </w:tc>
        <w:tc>
          <w:tcPr>
            <w:tcW w:w="1646" w:type="dxa"/>
            <w:shd w:val="clear" w:color="auto" w:fill="E2EFD9" w:themeFill="accent6" w:themeFillTint="33"/>
          </w:tcPr>
          <w:p w14:paraId="3DDC3F8A" w14:textId="77777777" w:rsidR="00E43C36" w:rsidRPr="00813056" w:rsidRDefault="00E43C36" w:rsidP="0081305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13056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404" w:type="dxa"/>
          </w:tcPr>
          <w:p w14:paraId="457E5DA2" w14:textId="4E772FC3" w:rsidR="00E43C36" w:rsidRPr="00813056" w:rsidRDefault="00AE5B4F" w:rsidP="0081305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13056">
              <w:rPr>
                <w:rFonts w:asciiTheme="majorBidi" w:hAnsiTheme="majorBidi" w:cstheme="majorBidi"/>
                <w:sz w:val="24"/>
                <w:szCs w:val="24"/>
              </w:rPr>
              <w:t>ENGL 427</w:t>
            </w:r>
          </w:p>
        </w:tc>
      </w:tr>
      <w:bookmarkEnd w:id="0"/>
      <w:tr w:rsidR="00E43C36" w:rsidRPr="00813056" w14:paraId="17053A89" w14:textId="77777777" w:rsidTr="00BC24BD">
        <w:tc>
          <w:tcPr>
            <w:tcW w:w="2245" w:type="dxa"/>
            <w:shd w:val="clear" w:color="auto" w:fill="E2EFD9" w:themeFill="accent6" w:themeFillTint="33"/>
          </w:tcPr>
          <w:p w14:paraId="3AE1BED7" w14:textId="77777777" w:rsidR="00E43C36" w:rsidRPr="00813056" w:rsidRDefault="00E43C36" w:rsidP="0081305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30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330" w:type="dxa"/>
          </w:tcPr>
          <w:p w14:paraId="01631660" w14:textId="4D7038A3" w:rsidR="00E43C36" w:rsidRPr="00813056" w:rsidRDefault="00AE5B4F" w:rsidP="0081305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13056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646" w:type="dxa"/>
            <w:shd w:val="clear" w:color="auto" w:fill="E2EFD9" w:themeFill="accent6" w:themeFillTint="33"/>
          </w:tcPr>
          <w:p w14:paraId="515E134D" w14:textId="77777777" w:rsidR="00E43C36" w:rsidRPr="00813056" w:rsidRDefault="00E43C36" w:rsidP="0081305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13056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404" w:type="dxa"/>
          </w:tcPr>
          <w:p w14:paraId="2117542E" w14:textId="1B368A9E" w:rsidR="00E43C36" w:rsidRPr="00813056" w:rsidRDefault="00AE5B4F" w:rsidP="0081305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13056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813056" w:rsidRPr="00813056">
              <w:rPr>
                <w:rFonts w:asciiTheme="majorBidi" w:hAnsiTheme="majorBidi" w:cstheme="majorBidi"/>
                <w:sz w:val="24"/>
                <w:szCs w:val="24"/>
              </w:rPr>
              <w:t xml:space="preserve"> hrs.</w:t>
            </w:r>
          </w:p>
        </w:tc>
      </w:tr>
      <w:tr w:rsidR="00E43C36" w:rsidRPr="00813056" w14:paraId="7A972AA8" w14:textId="77777777" w:rsidTr="00813056">
        <w:tc>
          <w:tcPr>
            <w:tcW w:w="2245" w:type="dxa"/>
            <w:shd w:val="clear" w:color="auto" w:fill="E2EFD9" w:themeFill="accent6" w:themeFillTint="33"/>
          </w:tcPr>
          <w:p w14:paraId="2FAB699B" w14:textId="77777777" w:rsidR="00813056" w:rsidRPr="00813056" w:rsidRDefault="00813056" w:rsidP="0081305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EA35ABC" w14:textId="164D5465" w:rsidR="00E43C36" w:rsidRPr="00813056" w:rsidRDefault="00E43C36" w:rsidP="0081305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30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  <w:r w:rsidR="00813056" w:rsidRPr="008130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80" w:type="dxa"/>
            <w:gridSpan w:val="3"/>
          </w:tcPr>
          <w:p w14:paraId="01B7551E" w14:textId="3F51062F" w:rsidR="0081382D" w:rsidRDefault="0081382D" w:rsidP="0081382D">
            <w:pPr>
              <w:pStyle w:val="a8"/>
              <w:spacing w:before="0" w:beforeAutospacing="0" w:after="0" w:afterAutospacing="0"/>
              <w:ind w:left="720"/>
            </w:pPr>
            <w:r>
              <w:rPr>
                <w:color w:val="000000"/>
              </w:rPr>
              <w:t>1.Understand Mind and Language relationship</w:t>
            </w:r>
          </w:p>
          <w:p w14:paraId="71490A15" w14:textId="3C88E92E" w:rsidR="0081382D" w:rsidRDefault="0081382D" w:rsidP="0081382D">
            <w:pPr>
              <w:pStyle w:val="a8"/>
              <w:spacing w:before="0" w:beforeAutospacing="0" w:after="0" w:afterAutospacing="0"/>
              <w:ind w:left="720"/>
            </w:pPr>
            <w:r>
              <w:rPr>
                <w:color w:val="000000"/>
              </w:rPr>
              <w:t>2.Have the theoretical understanding of language acquisition.</w:t>
            </w:r>
          </w:p>
          <w:p w14:paraId="1A14AB97" w14:textId="6B665769" w:rsidR="0081382D" w:rsidRDefault="0081382D" w:rsidP="0081382D">
            <w:pPr>
              <w:pStyle w:val="a8"/>
              <w:spacing w:before="0" w:beforeAutospacing="0" w:after="0" w:afterAutospacing="0"/>
              <w:ind w:left="720"/>
            </w:pPr>
            <w:r>
              <w:rPr>
                <w:color w:val="000000"/>
              </w:rPr>
              <w:t>3.Analyses of the challenges of language learning</w:t>
            </w:r>
          </w:p>
          <w:p w14:paraId="26076FE3" w14:textId="67646BA5" w:rsidR="0081382D" w:rsidRDefault="0081382D" w:rsidP="0081382D">
            <w:pPr>
              <w:pStyle w:val="a8"/>
              <w:spacing w:before="0" w:beforeAutospacing="0" w:after="0" w:afterAutospacing="0"/>
              <w:ind w:left="720" w:right="43"/>
            </w:pPr>
            <w:r>
              <w:rPr>
                <w:color w:val="000000"/>
              </w:rPr>
              <w:t>4.Understand nature of second language learning</w:t>
            </w:r>
          </w:p>
          <w:p w14:paraId="1BDCA448" w14:textId="68A449FD" w:rsidR="00E43C36" w:rsidRPr="00813056" w:rsidRDefault="00E43C36" w:rsidP="0081382D">
            <w:pPr>
              <w:pStyle w:val="a4"/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82D" w:rsidRPr="00813056" w14:paraId="58DADF33" w14:textId="77777777" w:rsidTr="00813056">
        <w:tc>
          <w:tcPr>
            <w:tcW w:w="2245" w:type="dxa"/>
            <w:vMerge w:val="restart"/>
            <w:shd w:val="clear" w:color="auto" w:fill="E2EFD9" w:themeFill="accent6" w:themeFillTint="33"/>
          </w:tcPr>
          <w:p w14:paraId="4F159F3C" w14:textId="77777777" w:rsidR="0081382D" w:rsidRPr="00813056" w:rsidRDefault="0081382D" w:rsidP="0081382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B8A9F96" w14:textId="77777777" w:rsidR="0081382D" w:rsidRPr="00813056" w:rsidRDefault="0081382D" w:rsidP="0081382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018E859" w14:textId="77777777" w:rsidR="0081382D" w:rsidRPr="00813056" w:rsidRDefault="0081382D" w:rsidP="0081382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6969AA4" w14:textId="77777777" w:rsidR="0081382D" w:rsidRPr="00813056" w:rsidRDefault="0081382D" w:rsidP="0081382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AB7462A" w14:textId="77777777" w:rsidR="0081382D" w:rsidRPr="00813056" w:rsidRDefault="0081382D" w:rsidP="0081382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4675883" w14:textId="77777777" w:rsidR="0081382D" w:rsidRDefault="0081382D" w:rsidP="0081382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48F7A56" w14:textId="77777777" w:rsidR="0081382D" w:rsidRDefault="0081382D" w:rsidP="0081382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9D21119" w14:textId="77777777" w:rsidR="0081382D" w:rsidRDefault="0081382D" w:rsidP="0081382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37FF22E" w14:textId="77777777" w:rsidR="0081382D" w:rsidRDefault="0081382D" w:rsidP="0081382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44C5A55" w14:textId="6AE6CE29" w:rsidR="0081382D" w:rsidRPr="00813056" w:rsidRDefault="0081382D" w:rsidP="0081382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30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0AC351F5" w14:textId="77777777" w:rsidR="0081382D" w:rsidRPr="0081382D" w:rsidRDefault="0081382D" w:rsidP="0081382D">
            <w:pPr>
              <w:pStyle w:val="a8"/>
              <w:bidi/>
              <w:spacing w:before="0" w:beforeAutospacing="0" w:after="0" w:afterAutospacing="0"/>
              <w:jc w:val="right"/>
              <w:rPr>
                <w:rFonts w:asciiTheme="majorBidi" w:hAnsiTheme="majorBidi" w:cstheme="majorBidi"/>
              </w:rPr>
            </w:pPr>
            <w:r w:rsidRPr="0081382D">
              <w:rPr>
                <w:rFonts w:asciiTheme="majorBidi" w:hAnsiTheme="majorBidi" w:cstheme="majorBidi"/>
                <w:color w:val="000000"/>
              </w:rPr>
              <w:t>Course orientation</w:t>
            </w:r>
            <w:r w:rsidRPr="0081382D">
              <w:rPr>
                <w:rFonts w:asciiTheme="majorBidi" w:hAnsiTheme="majorBidi" w:cstheme="majorBidi"/>
                <w:color w:val="000000"/>
                <w:rtl/>
              </w:rPr>
              <w:t>.</w:t>
            </w:r>
          </w:p>
          <w:p w14:paraId="022BDB4E" w14:textId="77777777" w:rsidR="0081382D" w:rsidRPr="0081382D" w:rsidRDefault="0081382D" w:rsidP="0081382D">
            <w:pPr>
              <w:pStyle w:val="a8"/>
              <w:bidi/>
              <w:spacing w:before="0" w:beforeAutospacing="0" w:after="0" w:afterAutospacing="0"/>
              <w:jc w:val="right"/>
              <w:rPr>
                <w:rFonts w:asciiTheme="majorBidi" w:hAnsiTheme="majorBidi" w:cstheme="majorBidi"/>
                <w:rtl/>
              </w:rPr>
            </w:pPr>
            <w:r w:rsidRPr="0081382D">
              <w:rPr>
                <w:rFonts w:asciiTheme="majorBidi" w:hAnsiTheme="majorBidi" w:cstheme="majorBidi"/>
                <w:color w:val="000000"/>
              </w:rPr>
              <w:t>Introduction to psycholinguistics: definition, basic ideas, theories, terms and methods</w:t>
            </w:r>
            <w:r w:rsidRPr="0081382D">
              <w:rPr>
                <w:rFonts w:asciiTheme="majorBidi" w:hAnsiTheme="majorBidi" w:cstheme="majorBidi"/>
                <w:color w:val="000000"/>
                <w:rtl/>
              </w:rPr>
              <w:t>.</w:t>
            </w:r>
          </w:p>
          <w:p w14:paraId="6788F4C2" w14:textId="77777777" w:rsidR="0081382D" w:rsidRPr="0081382D" w:rsidRDefault="0081382D" w:rsidP="0081382D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2EFDC77D" w14:textId="0C22A3E1" w:rsidR="0081382D" w:rsidRPr="0081382D" w:rsidRDefault="0081382D" w:rsidP="0081382D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138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Psycholinguistics and its neighboring disciplines and subfields: philosophy, psychology, biolinguistics, neurolinguistics, cognitive science, developmental psycholinguistics, applied psycholinguistics</w:t>
            </w:r>
            <w:r w:rsidRPr="0081382D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,</w:t>
            </w:r>
          </w:p>
        </w:tc>
      </w:tr>
      <w:tr w:rsidR="0081382D" w:rsidRPr="00813056" w14:paraId="22E46517" w14:textId="77777777" w:rsidTr="00813056">
        <w:tc>
          <w:tcPr>
            <w:tcW w:w="2245" w:type="dxa"/>
            <w:vMerge/>
            <w:shd w:val="clear" w:color="auto" w:fill="E2EFD9" w:themeFill="accent6" w:themeFillTint="33"/>
          </w:tcPr>
          <w:p w14:paraId="75846C55" w14:textId="253DCE07" w:rsidR="0081382D" w:rsidRPr="00813056" w:rsidRDefault="0081382D" w:rsidP="0081382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14:paraId="142F173C" w14:textId="77777777" w:rsidR="0081382D" w:rsidRPr="0081382D" w:rsidRDefault="0081382D" w:rsidP="0081382D">
            <w:pPr>
              <w:pStyle w:val="a8"/>
              <w:bidi/>
              <w:spacing w:before="0" w:beforeAutospacing="0" w:after="0" w:afterAutospacing="0"/>
              <w:jc w:val="right"/>
              <w:rPr>
                <w:rFonts w:asciiTheme="majorBidi" w:hAnsiTheme="majorBidi" w:cstheme="majorBidi"/>
                <w:rtl/>
              </w:rPr>
            </w:pPr>
            <w:r w:rsidRPr="0081382D">
              <w:rPr>
                <w:rFonts w:asciiTheme="majorBidi" w:hAnsiTheme="majorBidi" w:cstheme="majorBidi"/>
                <w:color w:val="000000"/>
              </w:rPr>
              <w:t>Theories of language learning and acquisition</w:t>
            </w:r>
          </w:p>
          <w:p w14:paraId="6D9B1689" w14:textId="77777777" w:rsidR="0081382D" w:rsidRPr="0081382D" w:rsidRDefault="0081382D" w:rsidP="0081382D">
            <w:pPr>
              <w:pStyle w:val="a8"/>
              <w:bidi/>
              <w:spacing w:before="0" w:beforeAutospacing="0" w:after="0" w:afterAutospacing="0"/>
              <w:jc w:val="right"/>
              <w:rPr>
                <w:rFonts w:asciiTheme="majorBidi" w:hAnsiTheme="majorBidi" w:cstheme="majorBidi"/>
                <w:rtl/>
              </w:rPr>
            </w:pPr>
            <w:r w:rsidRPr="0081382D">
              <w:rPr>
                <w:rFonts w:asciiTheme="majorBidi" w:hAnsiTheme="majorBidi" w:cstheme="majorBidi"/>
                <w:color w:val="000000"/>
              </w:rPr>
              <w:t>Approaches to First Language Acquisition</w:t>
            </w:r>
            <w:r w:rsidRPr="0081382D">
              <w:rPr>
                <w:rFonts w:asciiTheme="majorBidi" w:hAnsiTheme="majorBidi" w:cstheme="majorBidi"/>
                <w:color w:val="000000"/>
                <w:rtl/>
              </w:rPr>
              <w:t>:</w:t>
            </w:r>
            <w:r w:rsidRPr="0081382D">
              <w:rPr>
                <w:rFonts w:asciiTheme="majorBidi" w:hAnsiTheme="majorBidi" w:cstheme="majorBidi"/>
                <w:color w:val="000000"/>
                <w:rtl/>
              </w:rPr>
              <w:br/>
            </w:r>
            <w:r w:rsidRPr="0081382D">
              <w:rPr>
                <w:rFonts w:asciiTheme="majorBidi" w:hAnsiTheme="majorBidi" w:cstheme="majorBidi"/>
                <w:color w:val="000000"/>
              </w:rPr>
              <w:t>Behaviorism (B.F. Skinner)</w:t>
            </w:r>
            <w:r w:rsidRPr="0081382D">
              <w:rPr>
                <w:rFonts w:asciiTheme="majorBidi" w:hAnsiTheme="majorBidi" w:cstheme="majorBidi"/>
                <w:color w:val="000000"/>
                <w:rtl/>
              </w:rPr>
              <w:br/>
            </w:r>
            <w:r w:rsidRPr="0081382D">
              <w:rPr>
                <w:rFonts w:asciiTheme="majorBidi" w:hAnsiTheme="majorBidi" w:cstheme="majorBidi"/>
                <w:color w:val="000000"/>
              </w:rPr>
              <w:t>Nativism</w:t>
            </w:r>
            <w:r w:rsidRPr="0081382D">
              <w:rPr>
                <w:rFonts w:asciiTheme="majorBidi" w:hAnsiTheme="majorBidi" w:cstheme="majorBidi"/>
                <w:color w:val="000000"/>
                <w:rtl/>
              </w:rPr>
              <w:t xml:space="preserve"> &amp; </w:t>
            </w:r>
            <w:r w:rsidRPr="0081382D">
              <w:rPr>
                <w:rFonts w:asciiTheme="majorBidi" w:hAnsiTheme="majorBidi" w:cstheme="majorBidi"/>
                <w:color w:val="000000"/>
              </w:rPr>
              <w:t>UG (Noam Chomsky)</w:t>
            </w:r>
            <w:r w:rsidRPr="0081382D">
              <w:rPr>
                <w:rFonts w:asciiTheme="majorBidi" w:hAnsiTheme="majorBidi" w:cstheme="majorBidi"/>
                <w:color w:val="000000"/>
                <w:rtl/>
              </w:rPr>
              <w:br/>
            </w:r>
            <w:r w:rsidRPr="0081382D">
              <w:rPr>
                <w:rFonts w:asciiTheme="majorBidi" w:hAnsiTheme="majorBidi" w:cstheme="majorBidi"/>
                <w:color w:val="000000"/>
              </w:rPr>
              <w:t>Interactionism (CDS; Motherese)</w:t>
            </w:r>
            <w:r w:rsidRPr="0081382D">
              <w:rPr>
                <w:rFonts w:asciiTheme="majorBidi" w:hAnsiTheme="majorBidi" w:cstheme="majorBidi"/>
                <w:color w:val="000000"/>
                <w:rtl/>
              </w:rPr>
              <w:br/>
            </w:r>
            <w:r w:rsidRPr="0081382D">
              <w:rPr>
                <w:rFonts w:asciiTheme="majorBidi" w:hAnsiTheme="majorBidi" w:cstheme="majorBidi"/>
                <w:color w:val="000000"/>
              </w:rPr>
              <w:t>Emergentism, Usage-based Theories, DST Approach</w:t>
            </w:r>
          </w:p>
          <w:p w14:paraId="5E133BA7" w14:textId="71BC7962" w:rsidR="0081382D" w:rsidRPr="0081382D" w:rsidRDefault="0081382D" w:rsidP="0081382D">
            <w:pPr>
              <w:pStyle w:val="a4"/>
              <w:bidi w:val="0"/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138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Second Language acquisition vs. First Language Acquisition</w:t>
            </w:r>
          </w:p>
        </w:tc>
      </w:tr>
      <w:tr w:rsidR="0081382D" w:rsidRPr="00813056" w14:paraId="4EE8D01A" w14:textId="77777777" w:rsidTr="00813056">
        <w:tc>
          <w:tcPr>
            <w:tcW w:w="2245" w:type="dxa"/>
            <w:vMerge/>
            <w:shd w:val="clear" w:color="auto" w:fill="E2EFD9" w:themeFill="accent6" w:themeFillTint="33"/>
          </w:tcPr>
          <w:p w14:paraId="2F06DAA7" w14:textId="77777777" w:rsidR="0081382D" w:rsidRPr="00813056" w:rsidRDefault="0081382D" w:rsidP="0081382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14:paraId="4556F4B1" w14:textId="77777777" w:rsidR="0081382D" w:rsidRPr="0081382D" w:rsidRDefault="0081382D" w:rsidP="0081382D">
            <w:pPr>
              <w:pStyle w:val="a8"/>
              <w:bidi/>
              <w:spacing w:before="0" w:beforeAutospacing="0" w:after="0" w:afterAutospacing="0"/>
              <w:jc w:val="right"/>
              <w:rPr>
                <w:rFonts w:asciiTheme="majorBidi" w:hAnsiTheme="majorBidi" w:cstheme="majorBidi"/>
                <w:rtl/>
              </w:rPr>
            </w:pPr>
            <w:r w:rsidRPr="0081382D">
              <w:rPr>
                <w:rFonts w:asciiTheme="majorBidi" w:hAnsiTheme="majorBidi" w:cstheme="majorBidi"/>
                <w:color w:val="000000"/>
              </w:rPr>
              <w:t>Language and the Brain,(language production and perception issues)</w:t>
            </w:r>
            <w:r w:rsidRPr="0081382D">
              <w:rPr>
                <w:rFonts w:asciiTheme="majorBidi" w:hAnsiTheme="majorBidi" w:cstheme="majorBidi"/>
                <w:color w:val="000000"/>
                <w:rtl/>
              </w:rPr>
              <w:t>.</w:t>
            </w:r>
          </w:p>
          <w:p w14:paraId="38C09389" w14:textId="33F60929" w:rsidR="0081382D" w:rsidRPr="0081382D" w:rsidRDefault="0081382D" w:rsidP="0081382D">
            <w:pPr>
              <w:pStyle w:val="a4"/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138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Language Pathology and Speech Disorders (brain damage and dyslexia, aphasia,apraxia, dysarthia, etc.)</w:t>
            </w:r>
            <w:r w:rsidRPr="0081382D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81382D" w:rsidRPr="00813056" w14:paraId="4D6AFAF5" w14:textId="77777777" w:rsidTr="00813056">
        <w:tc>
          <w:tcPr>
            <w:tcW w:w="2245" w:type="dxa"/>
            <w:vMerge/>
            <w:shd w:val="clear" w:color="auto" w:fill="E2EFD9" w:themeFill="accent6" w:themeFillTint="33"/>
          </w:tcPr>
          <w:p w14:paraId="54844D69" w14:textId="77777777" w:rsidR="0081382D" w:rsidRPr="00813056" w:rsidRDefault="0081382D" w:rsidP="0081382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14:paraId="2FD65AED" w14:textId="6A5617D0" w:rsidR="0081382D" w:rsidRPr="0081382D" w:rsidRDefault="0081382D" w:rsidP="0081382D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138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psycholinguistics aspects of lexicon, grammar, syntax and word/sentence meaning</w:t>
            </w:r>
            <w:r w:rsidRPr="0081382D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81382D" w:rsidRPr="00813056" w14:paraId="1E3A5252" w14:textId="77777777" w:rsidTr="00813056">
        <w:tc>
          <w:tcPr>
            <w:tcW w:w="2245" w:type="dxa"/>
            <w:vMerge/>
            <w:shd w:val="clear" w:color="auto" w:fill="E2EFD9" w:themeFill="accent6" w:themeFillTint="33"/>
          </w:tcPr>
          <w:p w14:paraId="1C2A6013" w14:textId="77777777" w:rsidR="0081382D" w:rsidRPr="00813056" w:rsidRDefault="0081382D" w:rsidP="0081382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14:paraId="3A709547" w14:textId="77777777" w:rsidR="0081382D" w:rsidRPr="0081382D" w:rsidRDefault="0081382D" w:rsidP="0081382D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0C1B8948" w14:textId="77777777" w:rsidR="0081382D" w:rsidRPr="0081382D" w:rsidRDefault="0081382D" w:rsidP="0081382D">
            <w:pPr>
              <w:pStyle w:val="a8"/>
              <w:bidi/>
              <w:spacing w:before="0" w:beforeAutospacing="0" w:after="0" w:afterAutospacing="0"/>
              <w:jc w:val="right"/>
              <w:rPr>
                <w:rFonts w:asciiTheme="majorBidi" w:hAnsiTheme="majorBidi" w:cstheme="majorBidi"/>
              </w:rPr>
            </w:pPr>
            <w:r w:rsidRPr="0081382D">
              <w:rPr>
                <w:rFonts w:asciiTheme="majorBidi" w:hAnsiTheme="majorBidi" w:cstheme="majorBidi"/>
                <w:color w:val="000000"/>
              </w:rPr>
              <w:t>The psychological and cognitive aspects of text and discourse</w:t>
            </w:r>
            <w:r w:rsidRPr="0081382D">
              <w:rPr>
                <w:rFonts w:asciiTheme="majorBidi" w:hAnsiTheme="majorBidi" w:cstheme="majorBidi"/>
                <w:color w:val="000000"/>
                <w:rtl/>
              </w:rPr>
              <w:t>.</w:t>
            </w:r>
          </w:p>
          <w:p w14:paraId="45105283" w14:textId="03DC6DE5" w:rsidR="0081382D" w:rsidRPr="0081382D" w:rsidRDefault="0081382D" w:rsidP="0081382D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382D" w:rsidRPr="00813056" w14:paraId="68A6F2F8" w14:textId="77777777" w:rsidTr="00813056">
        <w:tc>
          <w:tcPr>
            <w:tcW w:w="2245" w:type="dxa"/>
            <w:vMerge/>
            <w:shd w:val="clear" w:color="auto" w:fill="E2EFD9" w:themeFill="accent6" w:themeFillTint="33"/>
          </w:tcPr>
          <w:p w14:paraId="3E74C864" w14:textId="77777777" w:rsidR="0081382D" w:rsidRPr="00813056" w:rsidRDefault="0081382D" w:rsidP="0081382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14:paraId="0C7E69A1" w14:textId="7C1BD13A" w:rsidR="0081382D" w:rsidRPr="0081382D" w:rsidRDefault="0081382D" w:rsidP="0081382D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138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Language Thought and Society and Cognition , The Whorfian hypothesis and the overlap with sociolinguistics</w:t>
            </w:r>
          </w:p>
        </w:tc>
      </w:tr>
      <w:tr w:rsidR="0081382D" w:rsidRPr="00813056" w14:paraId="6EEDA3D4" w14:textId="77777777" w:rsidTr="00813056">
        <w:tc>
          <w:tcPr>
            <w:tcW w:w="2245" w:type="dxa"/>
            <w:vMerge/>
            <w:shd w:val="clear" w:color="auto" w:fill="E2EFD9" w:themeFill="accent6" w:themeFillTint="33"/>
          </w:tcPr>
          <w:p w14:paraId="67C3F7BF" w14:textId="77777777" w:rsidR="0081382D" w:rsidRPr="00813056" w:rsidRDefault="0081382D" w:rsidP="0081382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14:paraId="13AD0035" w14:textId="13E43ADF" w:rsidR="0081382D" w:rsidRPr="0081382D" w:rsidRDefault="0081382D" w:rsidP="0081382D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138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Applied Psycholinguistic issues (e.g. psycholinguistics and language)</w:t>
            </w:r>
          </w:p>
        </w:tc>
      </w:tr>
      <w:tr w:rsidR="0081382D" w:rsidRPr="00813056" w14:paraId="5781C3B8" w14:textId="77777777" w:rsidTr="00813056">
        <w:tc>
          <w:tcPr>
            <w:tcW w:w="2245" w:type="dxa"/>
            <w:vMerge/>
            <w:shd w:val="clear" w:color="auto" w:fill="E2EFD9" w:themeFill="accent6" w:themeFillTint="33"/>
          </w:tcPr>
          <w:p w14:paraId="2DB2ED29" w14:textId="77777777" w:rsidR="0081382D" w:rsidRPr="00813056" w:rsidRDefault="0081382D" w:rsidP="0081382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14:paraId="0C168890" w14:textId="35BFA3F0" w:rsidR="0081382D" w:rsidRPr="0081382D" w:rsidRDefault="0081382D" w:rsidP="0081382D">
            <w:pPr>
              <w:pStyle w:val="a4"/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138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New perspectives and methods in psycholinguistics</w:t>
            </w:r>
            <w:r w:rsidRPr="0081382D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E43C36" w:rsidRPr="00813056" w14:paraId="10DD34D7" w14:textId="77777777" w:rsidTr="00813056">
        <w:tc>
          <w:tcPr>
            <w:tcW w:w="2245" w:type="dxa"/>
            <w:shd w:val="clear" w:color="auto" w:fill="E2EFD9" w:themeFill="accent6" w:themeFillTint="33"/>
          </w:tcPr>
          <w:p w14:paraId="38DB4A58" w14:textId="77777777" w:rsidR="00E43C36" w:rsidRPr="00813056" w:rsidRDefault="00E43C36" w:rsidP="0081305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30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380" w:type="dxa"/>
            <w:gridSpan w:val="3"/>
          </w:tcPr>
          <w:p w14:paraId="443EB578" w14:textId="77777777" w:rsidR="0081382D" w:rsidRPr="0081382D" w:rsidRDefault="0081382D" w:rsidP="0081382D">
            <w:pPr>
              <w:pStyle w:val="a8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1382D">
              <w:rPr>
                <w:rFonts w:asciiTheme="majorBidi" w:hAnsiTheme="majorBidi" w:cstheme="majorBidi"/>
                <w:color w:val="000000"/>
              </w:rPr>
              <w:t>Danny D. Steinberg andNatalia V. Sciarini (2006) An Introduction to Psycholinguistics. (2nd edition) Pearson: Harlow</w:t>
            </w:r>
          </w:p>
          <w:p w14:paraId="34C48414" w14:textId="77777777" w:rsidR="0081382D" w:rsidRPr="0081382D" w:rsidRDefault="0081382D" w:rsidP="0081382D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0BB1AE" w14:textId="77777777" w:rsidR="0081382D" w:rsidRPr="0081382D" w:rsidRDefault="0081382D" w:rsidP="0081382D">
            <w:pPr>
              <w:pStyle w:val="a8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1382D">
              <w:rPr>
                <w:rFonts w:asciiTheme="majorBidi" w:hAnsiTheme="majorBidi" w:cstheme="majorBidi"/>
                <w:color w:val="000000"/>
              </w:rPr>
              <w:t>Materials (Journals, Reports, etc.)</w:t>
            </w:r>
          </w:p>
          <w:p w14:paraId="45AC45D0" w14:textId="77777777" w:rsidR="0081382D" w:rsidRPr="0081382D" w:rsidRDefault="0081382D" w:rsidP="0081382D">
            <w:pPr>
              <w:pStyle w:val="a8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1382D">
              <w:rPr>
                <w:rFonts w:asciiTheme="majorBidi" w:hAnsiTheme="majorBidi" w:cstheme="majorBidi"/>
                <w:color w:val="000000"/>
              </w:rPr>
              <w:t>Scovel, Thomas. (1998). Psycholinguistics (Oxford introduction to language study). Oxford:</w:t>
            </w:r>
          </w:p>
          <w:p w14:paraId="4FBFEC68" w14:textId="62CBAAEA" w:rsidR="00E43C36" w:rsidRPr="0081382D" w:rsidRDefault="0081382D" w:rsidP="0081382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138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OUP.</w:t>
            </w:r>
          </w:p>
        </w:tc>
      </w:tr>
    </w:tbl>
    <w:p w14:paraId="7F261043" w14:textId="77777777" w:rsidR="00D70822" w:rsidRPr="00813056" w:rsidRDefault="00D70822" w:rsidP="00813056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3BD41EF" w14:textId="40103773" w:rsidR="0085712C" w:rsidRPr="00813056" w:rsidRDefault="00CA6701" w:rsidP="00813056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492C1D34" wp14:editId="3C693958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813056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0827" w14:textId="77777777" w:rsidR="00F77CAB" w:rsidRDefault="00F77CAB" w:rsidP="00C96875">
      <w:pPr>
        <w:spacing w:after="0" w:line="240" w:lineRule="auto"/>
      </w:pPr>
      <w:r>
        <w:separator/>
      </w:r>
    </w:p>
  </w:endnote>
  <w:endnote w:type="continuationSeparator" w:id="0">
    <w:p w14:paraId="0246264C" w14:textId="77777777" w:rsidR="00F77CAB" w:rsidRDefault="00F77CAB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Bold">
    <w:altName w:val="Times New Roman"/>
    <w:charset w:val="00"/>
    <w:family w:val="roman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B2B78" w14:textId="77777777" w:rsidR="00F77CAB" w:rsidRDefault="00F77CAB" w:rsidP="00C96875">
      <w:pPr>
        <w:spacing w:after="0" w:line="240" w:lineRule="auto"/>
      </w:pPr>
      <w:r>
        <w:separator/>
      </w:r>
    </w:p>
  </w:footnote>
  <w:footnote w:type="continuationSeparator" w:id="0">
    <w:p w14:paraId="501800CB" w14:textId="77777777" w:rsidR="00F77CAB" w:rsidRDefault="00F77CAB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F4F6" w14:textId="77777777" w:rsidR="007D1AF2" w:rsidRDefault="00F77CAB">
    <w:pPr>
      <w:pStyle w:val="a5"/>
    </w:pPr>
    <w:r>
      <w:rPr>
        <w:noProof/>
      </w:rPr>
      <w:pict w14:anchorId="067F6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DE8D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0E1F4E9" wp14:editId="577D7376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D26DB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E1F4E9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3FED26DB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C34BBD" wp14:editId="193D4B48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61C09673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3458A9A5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C34BBD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61C09673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3458A9A5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5F7DD6C8" wp14:editId="79A5AE63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77CAB">
      <w:rPr>
        <w:noProof/>
      </w:rPr>
      <w:pict w14:anchorId="642016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8E0A" w14:textId="77777777" w:rsidR="007D1AF2" w:rsidRDefault="00F77CAB">
    <w:pPr>
      <w:pStyle w:val="a5"/>
    </w:pPr>
    <w:r>
      <w:rPr>
        <w:noProof/>
      </w:rPr>
      <w:pict w14:anchorId="3E00CE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1DF4"/>
    <w:multiLevelType w:val="hybridMultilevel"/>
    <w:tmpl w:val="A1A4A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41AFA"/>
    <w:multiLevelType w:val="hybridMultilevel"/>
    <w:tmpl w:val="48F68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75684"/>
    <w:multiLevelType w:val="hybridMultilevel"/>
    <w:tmpl w:val="9E42D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MzaxMDI0MzcxsTBT0lEKTi0uzszPAykwrAUAJxAvviwAAAA="/>
  </w:docVars>
  <w:rsids>
    <w:rsidRoot w:val="00FD66B2"/>
    <w:rsid w:val="00060D92"/>
    <w:rsid w:val="000707EF"/>
    <w:rsid w:val="000E26C8"/>
    <w:rsid w:val="0014507D"/>
    <w:rsid w:val="00177294"/>
    <w:rsid w:val="00196F0E"/>
    <w:rsid w:val="00287FD3"/>
    <w:rsid w:val="0031064D"/>
    <w:rsid w:val="00376AAF"/>
    <w:rsid w:val="003E7074"/>
    <w:rsid w:val="004009C7"/>
    <w:rsid w:val="00465BE1"/>
    <w:rsid w:val="004A66C1"/>
    <w:rsid w:val="00537D6F"/>
    <w:rsid w:val="00555743"/>
    <w:rsid w:val="005829FE"/>
    <w:rsid w:val="005B2F15"/>
    <w:rsid w:val="005C788C"/>
    <w:rsid w:val="00672A18"/>
    <w:rsid w:val="006E4A58"/>
    <w:rsid w:val="00726150"/>
    <w:rsid w:val="007408B0"/>
    <w:rsid w:val="00787DA1"/>
    <w:rsid w:val="007928DD"/>
    <w:rsid w:val="007D1AF2"/>
    <w:rsid w:val="007F5884"/>
    <w:rsid w:val="00813056"/>
    <w:rsid w:val="0081382D"/>
    <w:rsid w:val="00844362"/>
    <w:rsid w:val="00853394"/>
    <w:rsid w:val="0085712C"/>
    <w:rsid w:val="008E1A02"/>
    <w:rsid w:val="009538A4"/>
    <w:rsid w:val="00960488"/>
    <w:rsid w:val="00992C10"/>
    <w:rsid w:val="009C530B"/>
    <w:rsid w:val="009D7DF5"/>
    <w:rsid w:val="00A450FC"/>
    <w:rsid w:val="00AE5B4F"/>
    <w:rsid w:val="00B158AD"/>
    <w:rsid w:val="00B5502C"/>
    <w:rsid w:val="00B7066D"/>
    <w:rsid w:val="00BC24BD"/>
    <w:rsid w:val="00C96875"/>
    <w:rsid w:val="00CA6701"/>
    <w:rsid w:val="00CD058F"/>
    <w:rsid w:val="00D31C75"/>
    <w:rsid w:val="00D70822"/>
    <w:rsid w:val="00DE632E"/>
    <w:rsid w:val="00E43C36"/>
    <w:rsid w:val="00E50C3C"/>
    <w:rsid w:val="00E84B1D"/>
    <w:rsid w:val="00EB48A0"/>
    <w:rsid w:val="00EE72FF"/>
    <w:rsid w:val="00F77CAB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80BB2D"/>
  <w15:docId w15:val="{0ABE1B0C-703D-4450-8B4F-2C63F955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DE632E"/>
    <w:rPr>
      <w:rFonts w:ascii="TimesNewRomanBold" w:hAnsi="TimesNewRomanBold" w:hint="default"/>
      <w:b/>
      <w:bCs/>
      <w:i w:val="0"/>
      <w:iCs w:val="0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1382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813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67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9</cp:revision>
  <cp:lastPrinted>2020-03-12T10:47:00Z</cp:lastPrinted>
  <dcterms:created xsi:type="dcterms:W3CDTF">2020-03-19T15:29:00Z</dcterms:created>
  <dcterms:modified xsi:type="dcterms:W3CDTF">2021-11-02T20:25:00Z</dcterms:modified>
</cp:coreProperties>
</file>