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FD3E66" w:rsidRPr="0018037C" w:rsidRDefault="000C05A8" w:rsidP="0018037C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  <w:rtl/>
            </w:rPr>
            <w:pict>
              <v:rect id="مستطيل 2" o:spid="_x0000_s1026" style="position:absolute;left:0;text-align:left;margin-left:0;margin-top:0;width:642.6pt;height:64.4pt;flip:x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" o:allowincell="f" fillcolor="#4e6128 [1606]" strokecolor="#4f81bd [3204]">
                <w10:wrap anchorx="page" anchory="page"/>
              </v:rect>
            </w:pict>
          </w:r>
          <w:r>
            <w:rPr>
              <w:noProof/>
              <w:rtl/>
            </w:rPr>
            <w:pict>
              <v:rect id="مستطيل 5" o:spid="_x0000_s1030" style="position:absolute;left:0;text-align:left;margin-left:0;margin-top:0;width:7.15pt;height:831.2pt;flip:x;z-index:25166233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" o:allowincell="f" strokecolor="#76923c [2406]">
                <w10:wrap anchorx="margin" anchory="page"/>
              </v:rect>
            </w:pict>
          </w:r>
          <w:r>
            <w:rPr>
              <w:noProof/>
              <w:rtl/>
            </w:rPr>
            <w:pict>
              <v:rect id="مستطيل 4" o:spid="_x0000_s1029" style="position:absolute;left:0;text-align:left;margin-left:0;margin-top:0;width:7.15pt;height:831.2pt;flip:x;z-index:25166131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" o:allowincell="f" strokecolor="#76923c [2406]">
                <w10:wrap anchorx="margin" anchory="page"/>
              </v:rect>
            </w:pict>
          </w:r>
          <w:r>
            <w:rPr>
              <w:noProof/>
              <w:rtl/>
            </w:rPr>
            <w:pict>
              <v:rect id="مستطيل 3" o:spid="_x0000_s1028" style="position:absolute;left:0;text-align:left;margin-left:0;margin-top:0;width:642.6pt;height:64.8pt;flip:x;z-index:251660288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" o:allowincell="f" fillcolor="#4e6128 [1606]" strokecolor="#4f81bd [3204]">
                <w10:wrap anchorx="page" anchory="margin"/>
              </v:rect>
            </w:pict>
          </w:r>
        </w:p>
        <w:p w:rsidR="00FD3E66" w:rsidRDefault="0018037C" w:rsidP="0018037C">
          <w:pPr>
            <w:tabs>
              <w:tab w:val="left" w:pos="883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9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18037C" w:rsidRDefault="0018037C" w:rsidP="0018037C">
          <w:pPr>
            <w:bidi w:val="0"/>
            <w:ind w:left="-426" w:right="-341"/>
            <w:jc w:val="center"/>
            <w:rPr>
              <w:noProof/>
              <w:rtl/>
            </w:rPr>
          </w:pPr>
        </w:p>
        <w:p w:rsidR="00FD3E66" w:rsidRDefault="000C05A8" w:rsidP="004E7B87">
          <w:pPr>
            <w:bidi w:val="0"/>
            <w:ind w:left="-426" w:right="-341"/>
            <w:rPr>
              <w:rtl/>
            </w:rPr>
          </w:pPr>
        </w:p>
      </w:sdtContent>
    </w:sdt>
    <w:p w:rsidR="00EE2CCB" w:rsidRDefault="00EE2CCB">
      <w:pPr>
        <w:rPr>
          <w:rFonts w:hint="cs"/>
          <w:rtl/>
        </w:rPr>
      </w:pPr>
    </w:p>
    <w:p w:rsidR="00FD3E66" w:rsidRDefault="00FD3E66">
      <w:pPr>
        <w:rPr>
          <w:rtl/>
        </w:rPr>
      </w:pPr>
    </w:p>
    <w:p w:rsidR="00FD3E66" w:rsidRDefault="000C05A8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7.55pt;margin-top:19.6pt;width:444.75pt;height:325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<v:textbox>
              <w:txbxContent>
                <w:p w:rsidR="004E7B87" w:rsidRPr="004E7B87" w:rsidRDefault="004E7B87" w:rsidP="004E7B87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</w:rPr>
                  </w:pPr>
                  <w:r w:rsidRPr="004E7B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وكالة الجامعة للشؤون التعليمية</w:t>
                  </w:r>
                </w:p>
                <w:p w:rsidR="004E7B87" w:rsidRPr="004E7B87" w:rsidRDefault="004E7B87" w:rsidP="004E7B8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E7B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ادارة الخطط والبرامج الدراسية</w:t>
                  </w:r>
                </w:p>
                <w:p w:rsidR="004E7B87" w:rsidRDefault="004E7B87" w:rsidP="004E7B87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E7B87" w:rsidRDefault="004E7B87" w:rsidP="004E7B87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نموذج ( </w:t>
                  </w:r>
                  <w:r w:rsidRPr="00343588">
                    <w:rPr>
                      <w:rFonts w:cs="PT Bold Heading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5</w:t>
                  </w: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4E7B87" w:rsidRDefault="004E7B87" w:rsidP="004E7B87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E7B87" w:rsidRPr="004E7B87" w:rsidRDefault="004E7B87" w:rsidP="004E7B87">
                  <w:pPr>
                    <w:jc w:val="center"/>
                    <w:rPr>
                      <w:rFonts w:cs="PT Simple Bold Ruled"/>
                      <w:sz w:val="28"/>
                      <w:szCs w:val="28"/>
                      <w:lang w:bidi="ar-JO"/>
                    </w:rPr>
                  </w:pPr>
                  <w:r w:rsidRPr="004E7B87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مختصر توصيف المقرر</w:t>
                  </w:r>
                </w:p>
                <w:p w:rsidR="0018037C" w:rsidRPr="004E7B87" w:rsidRDefault="004E7B87" w:rsidP="00232659">
                  <w:pPr>
                    <w:jc w:val="center"/>
                    <w:rPr>
                      <w:rFonts w:cs="PT Simple Bold Ruled"/>
                      <w:sz w:val="28"/>
                      <w:szCs w:val="28"/>
                      <w:rtl/>
                      <w:lang w:bidi="ar-JO"/>
                    </w:rPr>
                  </w:pPr>
                  <w:r w:rsidRPr="004E7B87">
                    <w:rPr>
                      <w:rFonts w:cs="PT Simple Bold Ruled"/>
                      <w:sz w:val="28"/>
                      <w:szCs w:val="28"/>
                      <w:rtl/>
                      <w:lang w:bidi="ar-JO"/>
                    </w:rPr>
                    <w:t>مقررات ال</w:t>
                  </w:r>
                  <w:r w:rsidRPr="004E7B87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مستوى</w:t>
                  </w:r>
                  <w:r w:rsidRPr="004E7B87">
                    <w:rPr>
                      <w:rFonts w:cs="PT Simple Bold Ruled"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="000E2A1F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..</w:t>
                  </w:r>
                  <w:r w:rsidR="00021A4B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="00232659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رابع</w:t>
                  </w:r>
                  <w:r w:rsidR="000E2A1F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............</w:t>
                  </w:r>
                </w:p>
              </w:txbxContent>
            </v:textbox>
          </v:shape>
        </w:pict>
      </w: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18037C" w:rsidRDefault="0018037C">
      <w:pPr>
        <w:rPr>
          <w:rtl/>
        </w:rPr>
      </w:pPr>
    </w:p>
    <w:p w:rsidR="00FD3E66" w:rsidRDefault="0018037C">
      <w:pPr>
        <w:rPr>
          <w:rtl/>
        </w:rPr>
      </w:pPr>
      <w:r>
        <w:rPr>
          <w:rFonts w:hint="cs"/>
          <w:rtl/>
        </w:rPr>
        <w:t xml:space="preserve">  </w:t>
      </w: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4E7B87" w:rsidRDefault="004E7B87" w:rsidP="004E7B87">
      <w:pPr>
        <w:rPr>
          <w:rtl/>
        </w:rPr>
      </w:pPr>
    </w:p>
    <w:p w:rsidR="004E7B87" w:rsidRDefault="004E7B87" w:rsidP="004E7B87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المقرر:</w:t>
            </w: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232659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علم النفس ال</w:t>
            </w:r>
            <w:r w:rsidR="002326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تربوي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232659" w:rsidP="0023265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Edu226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لا يوجد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232659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المستو</w:t>
            </w: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ى ال</w:t>
            </w:r>
            <w:r w:rsidR="002326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28 ساعة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4E7B87" w:rsidRPr="00FB49A3" w:rsidRDefault="004E7B87" w:rsidP="004E7B87">
      <w:pPr>
        <w:rPr>
          <w:rFonts w:asciiTheme="minorBidi" w:hAnsiTheme="minorBidi" w:hint="cs"/>
          <w:b/>
          <w:bCs/>
          <w:sz w:val="24"/>
          <w:szCs w:val="24"/>
        </w:rPr>
      </w:pPr>
    </w:p>
    <w:p w:rsidR="004E7B87" w:rsidRPr="007A4106" w:rsidRDefault="004E7B87" w:rsidP="004E7B87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7"/>
        <w:gridCol w:w="4511"/>
      </w:tblGrid>
      <w:tr w:rsidR="004E7B87" w:rsidRPr="00AC3DAC" w:rsidTr="00AC3DAC">
        <w:trPr>
          <w:trHeight w:val="1030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232659" w:rsidP="0023265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مقرر علم النفس التربوى</w:t>
            </w:r>
            <w:r w:rsidR="00021A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من المقررات التى تندرج تحت مسمى المقررات التربوية التى لها أهمية كبيرة عى الاعداد التربوى والمهنى للطالبة. ويتناول موضوعات عدة تتضمن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المفاهيم الخاصة بعلم النفس التربوى</w:t>
            </w:r>
            <w:r w:rsidR="00021A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وكذلك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النظريات التعلم  السلوكية والمعرفية والبنائية والتطبيقات التربوية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العملية التعليمية.</w:t>
            </w:r>
            <w:r w:rsidR="00021A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تعرف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على مفهوم علم النفس وارتباطه بفروعه المختلفة</w:t>
            </w:r>
          </w:p>
          <w:p w:rsidR="004E7B87" w:rsidRPr="00AC3DAC" w:rsidRDefault="004E7B87" w:rsidP="00021A4B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*الوعي بأهمية علم النفس التربوي.ومجالاته واستخداماته.</w:t>
            </w: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*التبصير بالمفاهيم الأساسية عن التعلم ونظرياته.</w:t>
            </w: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*التبصير بأهمية عملية التعلم وشروطها.</w:t>
            </w: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*الوعي بأهمية انتقال أثر التعلم جراء عملية التعلم.</w:t>
            </w: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*إدراك مدي الاستفادة من نظريات علم النفس التربوي وتطبيقاتها في مجال العملية التعليمية والتربوية.</w:t>
            </w:r>
          </w:p>
          <w:p w:rsidR="00232659" w:rsidRDefault="00232659" w:rsidP="0023265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*تنمية مهارات الطالبات في إجراء بعض التجارب المعملية الخاصة بالتعلم.</w:t>
            </w:r>
          </w:p>
          <w:p w:rsidR="004E7B87" w:rsidRPr="00AC3DAC" w:rsidRDefault="004E7B87" w:rsidP="00B56EC8">
            <w:pPr>
              <w:spacing w:after="0" w:line="240" w:lineRule="auto"/>
              <w:ind w:left="720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AC3DAC" w:rsidRDefault="00232659" w:rsidP="0023265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*إدراك أهمية دور علم النفس التربوي في تطوير عناصر العملية التعليمية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تتحمل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proofErr w:type="spellStart"/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مسؤؤلية</w:t>
            </w:r>
            <w:proofErr w:type="spellEnd"/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التعلم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الذاتي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  <w:t>ونموها الشخصي والمهني والأخلاقي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 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المستقبل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.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lastRenderedPageBreak/>
              <w:t>تتواصل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بفاعلية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الزملاء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فى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تقديم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عروض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انشطة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وتكليفات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تتواصل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بفاعلية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الزملاء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فى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تقديم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عروض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انشطة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وتكليفات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4E7B87" w:rsidRPr="00AC3DAC" w:rsidRDefault="004E7B87" w:rsidP="00B56EC8">
            <w:pPr>
              <w:spacing w:after="0" w:line="240" w:lineRule="auto"/>
              <w:ind w:left="720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4E7B87" w:rsidRPr="00A647DB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61"/>
        <w:gridCol w:w="4150"/>
        <w:gridCol w:w="4237"/>
      </w:tblGrid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56EC8" w:rsidRDefault="00B56EC8" w:rsidP="00B56EC8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 التعرف على المفاهيم المختلفة للتعلم.</w:t>
            </w:r>
          </w:p>
          <w:p w:rsidR="00B56EC8" w:rsidRDefault="00B56EC8" w:rsidP="00B56EC8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 المعارف عن شروط التعلم.</w:t>
            </w:r>
          </w:p>
          <w:p w:rsidR="00B56EC8" w:rsidRDefault="00B56EC8" w:rsidP="00B56EC8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3-معارف عن مجالات المختلفة للتعلم.</w:t>
            </w:r>
          </w:p>
          <w:p w:rsidR="004E7B87" w:rsidRPr="00AC3DAC" w:rsidRDefault="00B56EC8" w:rsidP="00B56EC8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4-معارف عن نظريات التعلم</w:t>
            </w: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56EC8" w:rsidRDefault="00B56EC8" w:rsidP="00B56EC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ادراك الفروق بين شروط التعلم واسس التعلم ونظريات التعلم- الفروق بين نظريات التعلم الخاصة بالمدرسة السلوكية والمدرسة المعرفية.</w:t>
            </w:r>
          </w:p>
          <w:p w:rsidR="004E7B87" w:rsidRPr="00B56EC8" w:rsidRDefault="00B56EC8" w:rsidP="00B56EC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ادراك التطبيقات التربوية لكل نظرية على حدة.</w:t>
            </w: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46D0D" w:rsidRPr="00D60F57" w:rsidRDefault="00B46D0D" w:rsidP="00B46D0D">
            <w:pPr>
              <w:numPr>
                <w:ilvl w:val="0"/>
                <w:numId w:val="7"/>
              </w:numPr>
              <w:spacing w:after="0" w:line="240" w:lineRule="auto"/>
              <w:ind w:left="690" w:hanging="465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تجيد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استخدام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مهارة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الحوار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وتبادل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الأفكار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ملتزمة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آداب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الحوار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والاستماع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للرأي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الآخر</w:t>
            </w:r>
          </w:p>
          <w:p w:rsidR="00B46D0D" w:rsidRPr="00D60F57" w:rsidRDefault="00B46D0D" w:rsidP="00B46D0D">
            <w:pPr>
              <w:spacing w:after="0" w:line="240" w:lineRule="auto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 2-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تتحمل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مسؤولية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التزامها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بمحاضرات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ومواعيدها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</w:p>
          <w:p w:rsidR="00B46D0D" w:rsidRPr="00D60F57" w:rsidRDefault="00B46D0D" w:rsidP="00B46D0D">
            <w:pPr>
              <w:spacing w:after="0" w:line="240" w:lineRule="auto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3-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تتقن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مهارات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النقد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وتتقبل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الرأي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الآخر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ما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دام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مبنيا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على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أسس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علمية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موضوعية</w:t>
            </w:r>
          </w:p>
          <w:p w:rsidR="00B46D0D" w:rsidRPr="00D60F57" w:rsidRDefault="00B46D0D" w:rsidP="00B46D0D">
            <w:pPr>
              <w:spacing w:after="0" w:line="240" w:lineRule="auto"/>
              <w:rPr>
                <w:rFonts w:ascii="Arial" w:eastAsia="Arial" w:hAnsi="Arial" w:cs="AL-Mohanad Bold"/>
                <w:sz w:val="28"/>
                <w:szCs w:val="28"/>
              </w:rPr>
            </w:pPr>
            <w:r>
              <w:rPr>
                <w:rFonts w:ascii="Arial" w:eastAsia="Arial" w:hAnsi="Arial" w:cs="AL-Mohanad Bold"/>
                <w:sz w:val="28"/>
                <w:szCs w:val="28"/>
              </w:rPr>
              <w:t>4-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تتفاعل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زميلاتها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أثناء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مناقشة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lastRenderedPageBreak/>
              <w:t>موضوعات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</w:p>
          <w:p w:rsidR="004E7B87" w:rsidRPr="00AC3DAC" w:rsidRDefault="004E7B87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4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4E7B87" w:rsidRPr="00AC3DAC" w:rsidRDefault="00B56EC8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القدرة على الاستفادة من كل نظرية من نظريات التعلم المختلفة وكيفية تطبيقها فى مجال التطبيق الميدانى كل حسب تخصصه</w:t>
            </w: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4E7B87" w:rsidRPr="00FC6260" w:rsidTr="00AC3DAC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>عدد الأسابيع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272E6D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272E6D" w:rsidRPr="00FC6260" w:rsidRDefault="00272E6D" w:rsidP="00A861AC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مدخل إلي علم النفس التربوي (مفهومه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موضوعاته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أهميته- أهدافه) التعلم (مفهوم التعلم) شروط التعلم ( الدافعية من حيث تعريفها وأنواعها وعوامل نشأة الدافعية - النضج من حيث تعريفه وأهميته - الممارسة من حيث تعريفها وطرقها واستخداماتها) التطبيقات التربوية في مجال التعلم ( الحفظ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الاسترجاع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تطبيق المادة المتعلمة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الطريقة الكلية والطريقة الجزئية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التعلم الجمعي والتعلم الفردي)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272E6D" w:rsidRPr="00D9491E" w:rsidRDefault="00272E6D" w:rsidP="00A861AC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7أسابيع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272E6D" w:rsidRPr="00FC6260" w:rsidRDefault="00272E6D" w:rsidP="00A861AC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 ساعة</w:t>
            </w:r>
          </w:p>
        </w:tc>
      </w:tr>
      <w:tr w:rsidR="00272E6D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272E6D" w:rsidRPr="00FC6260" w:rsidRDefault="00272E6D" w:rsidP="00A861AC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نظريات التعلم (معني النظرية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الفرق بين نظريات التعلم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التعلم الارتباطي والذي يتمثل في التعلم بالمحاولة والخطأ "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ثورندايك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"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التعلم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بالاستبصار"الجشطلت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"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التعلم ذي المعني "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أوزبل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"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التعلم بالملاحظة "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باندورا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" ) التطبيقات التربوية في مجال التعلم (لنظريات التعلم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وتفسير نتائج رسم منحنيات التعلم) انتقال أثر التعلم (مفهومه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أنواعه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النتائج العملية لانتقال أثر التعلم).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272E6D" w:rsidRPr="00D9491E" w:rsidRDefault="00272E6D" w:rsidP="00A861AC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7أسابيع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272E6D" w:rsidRPr="00FC6260" w:rsidRDefault="00272E6D" w:rsidP="00272E6D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14ساعة</w:t>
            </w: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357B34" w:rsidP="00B56EC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:علم النفس ال</w:t>
            </w:r>
            <w:r w:rsidR="00B56EC8">
              <w:rPr>
                <w:rFonts w:cs="AL-Mohanad Bold" w:hint="cs"/>
                <w:sz w:val="28"/>
                <w:szCs w:val="28"/>
                <w:rtl/>
              </w:rPr>
              <w:t>تربوي</w:t>
            </w:r>
            <w:r w:rsidR="00B46D0D"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E00A09" w:rsidP="00357B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د/</w:t>
            </w:r>
            <w:r w:rsidR="00B56EC8">
              <w:rPr>
                <w:rFonts w:cs="AL-Mohanad Bold" w:hint="cs"/>
                <w:sz w:val="28"/>
                <w:szCs w:val="28"/>
                <w:rtl/>
              </w:rPr>
              <w:t xml:space="preserve">تاج السر عبد </w:t>
            </w:r>
            <w:r w:rsidR="00357B34">
              <w:rPr>
                <w:rFonts w:cs="AL-Mohanad Bold" w:hint="cs"/>
                <w:sz w:val="28"/>
                <w:szCs w:val="28"/>
                <w:rtl/>
              </w:rPr>
              <w:t>الله الشيخ</w:t>
            </w:r>
            <w:r w:rsidR="008472C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72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="008472C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د/نائل محمد عبد الرحمن أخرس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357B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>مكتبة الرشد</w:t>
            </w:r>
            <w:r w:rsidR="00357B3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العالمية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357B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143</w:t>
            </w:r>
            <w:r w:rsidR="00357B3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هـ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(1)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357B34" w:rsidP="00357B34">
            <w:pPr>
              <w:spacing w:before="240"/>
              <w:ind w:left="7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علم النفس التربوي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E00A09" w:rsidP="00357B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د/</w:t>
            </w:r>
            <w:r w:rsidR="00357B34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عبد المجيد </w:t>
            </w:r>
            <w:proofErr w:type="spellStart"/>
            <w:r w:rsidR="00357B34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النشواتى</w:t>
            </w:r>
            <w:proofErr w:type="spellEnd"/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357B34" w:rsidP="00357B34">
            <w:pPr>
              <w:spacing w:before="240"/>
              <w:ind w:left="7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دار الفرقان، مؤسسة الرسالة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272E6D" w:rsidRDefault="00272E6D" w:rsidP="00357B3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72E6D">
              <w:rPr>
                <w:rFonts w:ascii="Arial" w:eastAsia="Arial" w:hAnsi="Arial" w:cs="AL-Mohanad Bold" w:hint="cs"/>
                <w:sz w:val="36"/>
                <w:szCs w:val="36"/>
                <w:rtl/>
              </w:rPr>
              <w:t>1984</w:t>
            </w: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م</w:t>
            </w:r>
          </w:p>
        </w:tc>
      </w:tr>
    </w:tbl>
    <w:p w:rsidR="004E7B87" w:rsidRDefault="004E7B87">
      <w:pPr>
        <w:rPr>
          <w:rFonts w:hint="cs"/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8C3153" w:rsidRDefault="008C3153" w:rsidP="008C3153">
      <w:pPr>
        <w:rPr>
          <w:rFonts w:ascii="Arabic Transparent" w:cs="Arabic Transparent" w:hint="cs"/>
          <w:sz w:val="10"/>
          <w:szCs w:val="10"/>
        </w:rPr>
      </w:pPr>
    </w:p>
    <w:sectPr w:rsidR="008C3153" w:rsidSect="004E7B87">
      <w:headerReference w:type="default" r:id="rId11"/>
      <w:footerReference w:type="default" r:id="rId12"/>
      <w:headerReference w:type="first" r:id="rId13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A8" w:rsidRDefault="000C05A8" w:rsidP="004E7B87">
      <w:pPr>
        <w:spacing w:after="0" w:line="240" w:lineRule="auto"/>
      </w:pPr>
      <w:r>
        <w:separator/>
      </w:r>
    </w:p>
  </w:endnote>
  <w:endnote w:type="continuationSeparator" w:id="0">
    <w:p w:rsidR="000C05A8" w:rsidRDefault="000C05A8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1D5249">
          <w:pPr>
            <w:pStyle w:val="a6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157DB">
            <w:rPr>
              <w:sz w:val="20"/>
              <w:szCs w:val="20"/>
            </w:rPr>
            <w:fldChar w:fldCharType="begin"/>
          </w:r>
          <w:r w:rsidR="002157DB" w:rsidRPr="002157DB">
            <w:rPr>
              <w:sz w:val="20"/>
              <w:szCs w:val="20"/>
            </w:rPr>
            <w:instrText>PAGE   \* MERGEFORMAT</w:instrText>
          </w:r>
          <w:r w:rsidRPr="002157DB">
            <w:rPr>
              <w:sz w:val="20"/>
              <w:szCs w:val="20"/>
            </w:rPr>
            <w:fldChar w:fldCharType="separate"/>
          </w:r>
          <w:r w:rsidR="00601808" w:rsidRPr="00601808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</w:rPr>
            <w:t>1</w:t>
          </w:r>
          <w:r w:rsidRPr="002157DB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rPr>
              <w:sz w:val="20"/>
              <w:szCs w:val="20"/>
            </w:rPr>
          </w:pPr>
        </w:p>
      </w:tc>
    </w:tr>
  </w:tbl>
  <w:p w:rsidR="004E7B87" w:rsidRDefault="004E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A8" w:rsidRDefault="000C05A8" w:rsidP="004E7B87">
      <w:pPr>
        <w:spacing w:after="0" w:line="240" w:lineRule="auto"/>
      </w:pPr>
      <w:r>
        <w:separator/>
      </w:r>
    </w:p>
  </w:footnote>
  <w:footnote w:type="continuationSeparator" w:id="0">
    <w:p w:rsidR="000C05A8" w:rsidRDefault="000C05A8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AC3DAC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 wp14:anchorId="74D072E3" wp14:editId="7BD47302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4E7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4E7B87" w:rsidP="004E7B87">
    <w:pPr>
      <w:pStyle w:val="a5"/>
      <w:jc w:val="center"/>
    </w:pPr>
  </w:p>
  <w:p w:rsidR="004E7B87" w:rsidRDefault="00AC3DAC" w:rsidP="004E7B87">
    <w:pPr>
      <w:pStyle w:val="a5"/>
      <w:jc w:val="center"/>
    </w:pPr>
    <w:r>
      <w:rPr>
        <w:noProof/>
      </w:rPr>
      <w:drawing>
        <wp:inline distT="0" distB="0" distL="0" distR="0" wp14:anchorId="204D205F" wp14:editId="49DF8DBD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C99"/>
    <w:multiLevelType w:val="multilevel"/>
    <w:tmpl w:val="B0FAE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575"/>
    <w:multiLevelType w:val="multilevel"/>
    <w:tmpl w:val="BD98F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95E"/>
    <w:multiLevelType w:val="multilevel"/>
    <w:tmpl w:val="7E62F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9238C"/>
    <w:multiLevelType w:val="hybridMultilevel"/>
    <w:tmpl w:val="C9BCA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E2F66"/>
    <w:multiLevelType w:val="multilevel"/>
    <w:tmpl w:val="1414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141A0"/>
    <w:multiLevelType w:val="hybridMultilevel"/>
    <w:tmpl w:val="4BA8F0DE"/>
    <w:lvl w:ilvl="0" w:tplc="8DC2F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92E"/>
    <w:multiLevelType w:val="hybridMultilevel"/>
    <w:tmpl w:val="B25A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F1245"/>
    <w:multiLevelType w:val="multilevel"/>
    <w:tmpl w:val="2182B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F13271"/>
    <w:multiLevelType w:val="hybridMultilevel"/>
    <w:tmpl w:val="166EE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12"/>
    <w:rsid w:val="00010041"/>
    <w:rsid w:val="00021A4B"/>
    <w:rsid w:val="000C05A8"/>
    <w:rsid w:val="000E2A1F"/>
    <w:rsid w:val="000F6840"/>
    <w:rsid w:val="000F77B3"/>
    <w:rsid w:val="00113A2D"/>
    <w:rsid w:val="0018037C"/>
    <w:rsid w:val="001D5249"/>
    <w:rsid w:val="002157DB"/>
    <w:rsid w:val="00232659"/>
    <w:rsid w:val="00272E6D"/>
    <w:rsid w:val="00357B34"/>
    <w:rsid w:val="00371C10"/>
    <w:rsid w:val="0043549C"/>
    <w:rsid w:val="004B724C"/>
    <w:rsid w:val="004C3526"/>
    <w:rsid w:val="004E1254"/>
    <w:rsid w:val="004E7B87"/>
    <w:rsid w:val="00511466"/>
    <w:rsid w:val="005335C1"/>
    <w:rsid w:val="005A4412"/>
    <w:rsid w:val="00601808"/>
    <w:rsid w:val="00634C3E"/>
    <w:rsid w:val="006A4C7A"/>
    <w:rsid w:val="008472C6"/>
    <w:rsid w:val="0089774E"/>
    <w:rsid w:val="008B5830"/>
    <w:rsid w:val="008C3153"/>
    <w:rsid w:val="009A6CFA"/>
    <w:rsid w:val="009E60A8"/>
    <w:rsid w:val="00A00A29"/>
    <w:rsid w:val="00AC3DAC"/>
    <w:rsid w:val="00B46D0D"/>
    <w:rsid w:val="00B56EC8"/>
    <w:rsid w:val="00BB2CDC"/>
    <w:rsid w:val="00E00A09"/>
    <w:rsid w:val="00EE2CCB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مقررات المستوى الدراسي الثاني</vt:lpstr>
    </vt:vector>
  </TitlesOfParts>
  <Company>قسم الحاسب الآلي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user</dc:creator>
  <cp:lastModifiedBy>Nabila ALjraid</cp:lastModifiedBy>
  <cp:revision>3</cp:revision>
  <dcterms:created xsi:type="dcterms:W3CDTF">2013-04-23T05:27:00Z</dcterms:created>
  <dcterms:modified xsi:type="dcterms:W3CDTF">2013-04-24T19:30:00Z</dcterms:modified>
</cp:coreProperties>
</file>