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02D7FAC5"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w:t>
            </w:r>
            <w:r w:rsidR="00566CA0">
              <w:rPr>
                <w:rStyle w:val="Hyperlink"/>
                <w:noProof/>
                <w:rtl/>
              </w:rPr>
              <w:fldChar w:fldCharType="end"/>
            </w:r>
          </w:hyperlink>
        </w:p>
        <w:p w14:paraId="4B0114B6" w14:textId="282841F0"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4</w:t>
            </w:r>
            <w:r w:rsidR="00566CA0">
              <w:rPr>
                <w:rStyle w:val="Hyperlink"/>
                <w:noProof/>
                <w:rtl/>
              </w:rPr>
              <w:fldChar w:fldCharType="end"/>
            </w:r>
          </w:hyperlink>
        </w:p>
        <w:p w14:paraId="03846708" w14:textId="74EFC7AF"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09715A61" w14:textId="1893291D" w:rsidR="00566CA0" w:rsidRDefault="00D144E3"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5</w:t>
            </w:r>
            <w:r w:rsidR="00566CA0">
              <w:rPr>
                <w:rStyle w:val="Hyperlink"/>
                <w:noProof/>
                <w:rtl/>
              </w:rPr>
              <w:fldChar w:fldCharType="end"/>
            </w:r>
          </w:hyperlink>
        </w:p>
        <w:p w14:paraId="5CA4DEC1" w14:textId="01D95A9E" w:rsidR="00566CA0" w:rsidRDefault="00D144E3"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10</w:t>
            </w:r>
            <w:r w:rsidR="00566CA0">
              <w:rPr>
                <w:rStyle w:val="Hyperlink"/>
                <w:noProof/>
                <w:rtl/>
              </w:rPr>
              <w:fldChar w:fldCharType="end"/>
            </w:r>
          </w:hyperlink>
        </w:p>
        <w:p w14:paraId="3C026FB3" w14:textId="6D5D5CF4"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14</w:t>
            </w:r>
            <w:r w:rsidR="00566CA0">
              <w:rPr>
                <w:rStyle w:val="Hyperlink"/>
                <w:noProof/>
                <w:rtl/>
              </w:rPr>
              <w:fldChar w:fldCharType="end"/>
            </w:r>
          </w:hyperlink>
        </w:p>
        <w:p w14:paraId="4483FAD9" w14:textId="45A22D65"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15</w:t>
            </w:r>
            <w:r w:rsidR="00566CA0">
              <w:rPr>
                <w:rStyle w:val="Hyperlink"/>
                <w:noProof/>
                <w:rtl/>
              </w:rPr>
              <w:fldChar w:fldCharType="end"/>
            </w:r>
          </w:hyperlink>
        </w:p>
        <w:p w14:paraId="163B21FD" w14:textId="16AC6F4C"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17</w:t>
            </w:r>
            <w:r w:rsidR="00566CA0">
              <w:rPr>
                <w:rStyle w:val="Hyperlink"/>
                <w:noProof/>
                <w:rtl/>
              </w:rPr>
              <w:fldChar w:fldCharType="end"/>
            </w:r>
          </w:hyperlink>
        </w:p>
        <w:p w14:paraId="7593A180" w14:textId="72A79EA0"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21</w:t>
            </w:r>
            <w:r w:rsidR="00566CA0">
              <w:rPr>
                <w:rStyle w:val="Hyperlink"/>
                <w:noProof/>
                <w:rtl/>
              </w:rPr>
              <w:fldChar w:fldCharType="end"/>
            </w:r>
          </w:hyperlink>
        </w:p>
        <w:p w14:paraId="3BA7AD5A" w14:textId="1CA8BF79"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25</w:t>
            </w:r>
            <w:r w:rsidR="00566CA0">
              <w:rPr>
                <w:rStyle w:val="Hyperlink"/>
                <w:noProof/>
                <w:rtl/>
              </w:rPr>
              <w:fldChar w:fldCharType="end"/>
            </w:r>
          </w:hyperlink>
        </w:p>
        <w:p w14:paraId="2AB2274B" w14:textId="1EA974EC"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28</w:t>
            </w:r>
            <w:r w:rsidR="00566CA0">
              <w:rPr>
                <w:rStyle w:val="Hyperlink"/>
                <w:noProof/>
                <w:rtl/>
              </w:rPr>
              <w:fldChar w:fldCharType="end"/>
            </w:r>
          </w:hyperlink>
        </w:p>
        <w:p w14:paraId="0F9A3AAC" w14:textId="5A0E6FC7" w:rsidR="00566CA0" w:rsidRDefault="00D144E3"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B14DF6">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to enhance the credibility, objectivity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 quality of the performance is evaluated by evaluating the criterion first, and then evaluating the standard as a whole, as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Most of the elements of the criterion are available, (or) that the elements of the criterion are applied at low level (or) are applied irregularly, (or) there is no assessment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sufficient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All the elements of the criterion are available, all of which are applied at a perfect level and regularly, there is a regular and effective assessment, sufficient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9955F9">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B8CCE4" w:themeFill="accent1" w:themeFillTint="66"/>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B8CCE4" w:themeFill="accent1" w:themeFillTint="66"/>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B8CCE4" w:themeFill="accent1" w:themeFillTint="66"/>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B8CCE4" w:themeFill="accent1" w:themeFillTint="66"/>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9955F9">
        <w:trPr>
          <w:trHeight w:val="344"/>
          <w:tblHeader/>
          <w:jc w:val="center"/>
        </w:trPr>
        <w:tc>
          <w:tcPr>
            <w:tcW w:w="2275" w:type="dxa"/>
            <w:vMerge/>
            <w:tcBorders>
              <w:left w:val="single" w:sz="12" w:space="0" w:color="auto"/>
              <w:right w:val="single" w:sz="8" w:space="0" w:color="auto"/>
              <w:tr2bl w:val="single" w:sz="4" w:space="0" w:color="auto"/>
            </w:tcBorders>
            <w:shd w:val="clear" w:color="auto" w:fill="B8CCE4" w:themeFill="accent1" w:themeFillTint="66"/>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B8CCE4" w:themeFill="accent1" w:themeFillTint="66"/>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B8CCE4" w:themeFill="accent1" w:themeFillTint="66"/>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B8CCE4" w:themeFill="accent1" w:themeFillTint="66"/>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9955F9">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B8CCE4" w:themeFill="accent1" w:themeFillTint="66"/>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B8CCE4" w:themeFill="accent1" w:themeFillTint="66"/>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B8CCE4" w:themeFill="accent1" w:themeFillTint="66"/>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B8CCE4" w:themeFill="accent1" w:themeFillTint="66"/>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B8CCE4" w:themeFill="accent1" w:themeFillTint="66"/>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9955F9">
        <w:trPr>
          <w:trHeight w:val="557"/>
          <w:tblHeader/>
        </w:trPr>
        <w:tc>
          <w:tcPr>
            <w:tcW w:w="2663" w:type="dxa"/>
            <w:tcBorders>
              <w:bottom w:val="single" w:sz="8" w:space="0" w:color="auto"/>
            </w:tcBorders>
            <w:shd w:val="clear" w:color="auto" w:fill="B8CCE4" w:themeFill="accent1"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B8CCE4" w:themeFill="accent1"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9955F9">
        <w:trPr>
          <w:trHeight w:val="557"/>
          <w:tblHeader/>
        </w:trPr>
        <w:tc>
          <w:tcPr>
            <w:tcW w:w="1718" w:type="dxa"/>
            <w:tcBorders>
              <w:bottom w:val="single" w:sz="8" w:space="0" w:color="auto"/>
            </w:tcBorders>
            <w:shd w:val="clear" w:color="auto" w:fill="B8CCE4" w:themeFill="accent1"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B8CCE4" w:themeFill="accent1"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acceptable level of support for student learning, and the program is committed to applying them well and regularly, and there is sufficient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9955F9">
        <w:tc>
          <w:tcPr>
            <w:tcW w:w="6418" w:type="dxa"/>
            <w:gridSpan w:val="2"/>
            <w:shd w:val="clear" w:color="auto" w:fill="B8CCE4" w:themeFill="accent1" w:themeFillTint="66"/>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B8CCE4" w:themeFill="accent1" w:themeFillTint="66"/>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9955F9">
        <w:trPr>
          <w:trHeight w:val="418"/>
        </w:trPr>
        <w:tc>
          <w:tcPr>
            <w:tcW w:w="3209" w:type="dxa"/>
            <w:tcBorders>
              <w:bottom w:val="single" w:sz="8" w:space="0" w:color="auto"/>
            </w:tcBorders>
            <w:shd w:val="clear" w:color="auto" w:fill="B8CCE4" w:themeFill="accent1" w:themeFillTint="66"/>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B8CCE4" w:themeFill="accent1" w:themeFillTint="66"/>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9955F9">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B8CCE4" w:themeFill="accent1" w:themeFillTint="66"/>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B8CCE4" w:themeFill="accent1" w:themeFillTint="66"/>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DB0BF6" w:rsidRPr="00373BD5" w14:paraId="5943821D" w14:textId="77777777" w:rsidTr="009955F9">
        <w:trPr>
          <w:cantSplit/>
          <w:trHeight w:val="113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5E65B9C6"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shd w:val="clear" w:color="auto" w:fill="B8CCE4" w:themeFill="accent1" w:themeFillTint="66"/>
          </w:tcPr>
          <w:p w14:paraId="7F94BA04" w14:textId="77777777" w:rsidR="00DB0BF6" w:rsidRPr="00373BD5" w:rsidRDefault="00DB0BF6" w:rsidP="00DB0BF6">
            <w:pPr>
              <w:bidi w:val="0"/>
              <w:jc w:val="center"/>
              <w:rPr>
                <w:rFonts w:ascii="Sakkal Majalla" w:hAnsi="Sakkal Majalla" w:cs="Sakkal Majalla"/>
                <w:b/>
                <w:bCs/>
                <w:spacing w:val="10"/>
                <w:sz w:val="16"/>
                <w:szCs w:val="16"/>
                <w:rtl/>
                <w:lang w:bidi="ar-EG"/>
              </w:rPr>
            </w:pPr>
          </w:p>
        </w:tc>
        <w:tc>
          <w:tcPr>
            <w:tcW w:w="668" w:type="dxa"/>
            <w:shd w:val="clear" w:color="auto" w:fill="B8CCE4" w:themeFill="accent1" w:themeFillTint="66"/>
            <w:textDirection w:val="btLr"/>
            <w:vAlign w:val="center"/>
          </w:tcPr>
          <w:p w14:paraId="07B12A89" w14:textId="0C883CFE"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Non-Compliance</w:t>
            </w:r>
          </w:p>
        </w:tc>
        <w:tc>
          <w:tcPr>
            <w:tcW w:w="752" w:type="dxa"/>
            <w:shd w:val="clear" w:color="auto" w:fill="B8CCE4" w:themeFill="accent1" w:themeFillTint="66"/>
            <w:textDirection w:val="btLr"/>
            <w:vAlign w:val="center"/>
          </w:tcPr>
          <w:p w14:paraId="1162A76C" w14:textId="34E3A984"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Partial Compliance</w:t>
            </w:r>
          </w:p>
        </w:tc>
        <w:tc>
          <w:tcPr>
            <w:tcW w:w="669" w:type="dxa"/>
            <w:shd w:val="clear" w:color="auto" w:fill="B8CCE4" w:themeFill="accent1" w:themeFillTint="66"/>
            <w:textDirection w:val="btLr"/>
            <w:vAlign w:val="center"/>
          </w:tcPr>
          <w:p w14:paraId="10BDA2D8" w14:textId="00CC3BC6" w:rsidR="00DB0BF6" w:rsidRPr="00DB0BF6" w:rsidRDefault="00DB0BF6" w:rsidP="00DB0BF6">
            <w:pPr>
              <w:bidi w:val="0"/>
              <w:jc w:val="center"/>
              <w:rPr>
                <w:rFonts w:ascii="Sakkal Majalla" w:hAnsi="Sakkal Majalla" w:cs="Sakkal Majalla"/>
                <w:spacing w:val="10"/>
                <w:sz w:val="14"/>
                <w:szCs w:val="14"/>
                <w:rtl/>
              </w:rPr>
            </w:pPr>
            <w:r w:rsidRPr="00DB0BF6">
              <w:rPr>
                <w:rFonts w:ascii="Times New Roman" w:hAnsi="Times New Roman" w:cstheme="majorBidi"/>
                <w:b/>
                <w:bCs/>
                <w:color w:val="0D0D0D" w:themeColor="text1" w:themeTint="F2"/>
                <w:spacing w:val="10"/>
                <w:sz w:val="14"/>
                <w:szCs w:val="14"/>
                <w:lang w:bidi="ar-EG"/>
              </w:rPr>
              <w:t>Compliance</w:t>
            </w:r>
          </w:p>
        </w:tc>
        <w:tc>
          <w:tcPr>
            <w:tcW w:w="669" w:type="dxa"/>
            <w:shd w:val="clear" w:color="auto" w:fill="B8CCE4" w:themeFill="accent1" w:themeFillTint="66"/>
            <w:textDirection w:val="btLr"/>
            <w:vAlign w:val="center"/>
          </w:tcPr>
          <w:p w14:paraId="2EA2D3F1" w14:textId="3075DE1A"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E067856" w14:textId="1EF5BED5" w:rsidR="00DB0BF6" w:rsidRPr="00DB0BF6" w:rsidRDefault="00DB0BF6" w:rsidP="00DB0BF6">
            <w:pPr>
              <w:bidi w:val="0"/>
              <w:jc w:val="center"/>
              <w:rPr>
                <w:rFonts w:ascii="Sakkal Majalla" w:hAnsi="Sakkal Majalla" w:cs="Sakkal Majalla"/>
                <w:spacing w:val="10"/>
                <w:sz w:val="14"/>
                <w:szCs w:val="14"/>
                <w:rtl/>
                <w:lang w:bidi="ar-EG"/>
              </w:rPr>
            </w:pPr>
            <w:r w:rsidRPr="00DB0BF6">
              <w:rPr>
                <w:rFonts w:ascii="Times New Roman" w:hAnsi="Times New Roman" w:cstheme="majorBidi"/>
                <w:b/>
                <w:bCs/>
                <w:color w:val="0D0D0D" w:themeColor="text1" w:themeTint="F2"/>
                <w:spacing w:val="10"/>
                <w:sz w:val="14"/>
                <w:szCs w:val="14"/>
                <w:lang w:bidi="ar-EG"/>
              </w:rPr>
              <w:t>Distinctive Compliance</w:t>
            </w:r>
          </w:p>
        </w:tc>
      </w:tr>
      <w:tr w:rsidR="00DB0BF6" w:rsidRPr="00373BD5" w14:paraId="32917B34" w14:textId="77777777" w:rsidTr="009955F9">
        <w:trPr>
          <w:trHeight w:val="64"/>
          <w:tblHeader/>
          <w:jc w:val="center"/>
        </w:trPr>
        <w:tc>
          <w:tcPr>
            <w:tcW w:w="5655" w:type="dxa"/>
            <w:gridSpan w:val="2"/>
            <w:vMerge/>
            <w:tcBorders>
              <w:left w:val="single" w:sz="12" w:space="0" w:color="auto"/>
              <w:tr2bl w:val="single" w:sz="4" w:space="0" w:color="auto"/>
            </w:tcBorders>
            <w:shd w:val="clear" w:color="auto" w:fill="B8CCE4" w:themeFill="accent1" w:themeFillTint="66"/>
            <w:vAlign w:val="center"/>
          </w:tcPr>
          <w:p w14:paraId="0DE36A94" w14:textId="77777777" w:rsidR="00DB0BF6" w:rsidRPr="00373BD5" w:rsidRDefault="00DB0BF6" w:rsidP="00DB0BF6">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B8CCE4" w:themeFill="accent1" w:themeFillTint="66"/>
          </w:tcPr>
          <w:p w14:paraId="687C73A6" w14:textId="77777777" w:rsidR="00DB0BF6" w:rsidRPr="00373BD5" w:rsidRDefault="00DB0BF6" w:rsidP="00DB0BF6">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B8CCE4" w:themeFill="accent1" w:themeFillTint="66"/>
          </w:tcPr>
          <w:p w14:paraId="096D96E0" w14:textId="1BD50BC8"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1</w:t>
            </w:r>
          </w:p>
        </w:tc>
        <w:tc>
          <w:tcPr>
            <w:tcW w:w="752" w:type="dxa"/>
            <w:tcBorders>
              <w:bottom w:val="single" w:sz="4" w:space="0" w:color="auto"/>
            </w:tcBorders>
            <w:shd w:val="clear" w:color="auto" w:fill="B8CCE4" w:themeFill="accent1" w:themeFillTint="66"/>
          </w:tcPr>
          <w:p w14:paraId="4C41D49C" w14:textId="26E3D002" w:rsidR="00DB0BF6" w:rsidRPr="00373BD5" w:rsidRDefault="00DB0BF6" w:rsidP="00DB0BF6">
            <w:pPr>
              <w:bidi w:val="0"/>
              <w:jc w:val="center"/>
              <w:rPr>
                <w:rFonts w:ascii="Sakkal Majalla" w:hAnsi="Sakkal Majalla" w:cs="Sakkal Majalla"/>
                <w:b/>
                <w:bCs/>
                <w:spacing w:val="10"/>
                <w:sz w:val="24"/>
                <w:szCs w:val="24"/>
                <w:rtl/>
                <w:lang w:bidi="ar-EG"/>
              </w:rPr>
            </w:pPr>
            <w:r w:rsidRPr="004A133C">
              <w:rPr>
                <w:rFonts w:ascii="Times New Roman" w:hAnsi="Times New Roman" w:cs="Sakkal Majalla"/>
                <w:b/>
                <w:bCs/>
                <w:color w:val="0D0D0D" w:themeColor="text1" w:themeTint="F2"/>
                <w:spacing w:val="10"/>
                <w:sz w:val="24"/>
                <w:szCs w:val="24"/>
                <w:lang w:bidi="ar-EG"/>
              </w:rPr>
              <w:t>2</w:t>
            </w:r>
          </w:p>
        </w:tc>
        <w:tc>
          <w:tcPr>
            <w:tcW w:w="669" w:type="dxa"/>
            <w:tcBorders>
              <w:bottom w:val="single" w:sz="4" w:space="0" w:color="auto"/>
            </w:tcBorders>
            <w:shd w:val="clear" w:color="auto" w:fill="B8CCE4" w:themeFill="accent1" w:themeFillTint="66"/>
          </w:tcPr>
          <w:p w14:paraId="14863838" w14:textId="4AC53851" w:rsidR="00DB0BF6" w:rsidRPr="00373BD5" w:rsidRDefault="00DB0BF6" w:rsidP="00DB0BF6">
            <w:pPr>
              <w:bidi w:val="0"/>
              <w:jc w:val="center"/>
              <w:rPr>
                <w:rFonts w:ascii="Sakkal Majalla" w:hAnsi="Sakkal Majalla" w:cs="Sakkal Majalla"/>
                <w:b/>
                <w:bCs/>
                <w:spacing w:val="10"/>
                <w:sz w:val="24"/>
                <w:szCs w:val="24"/>
                <w:rtl/>
                <w:lang w:bidi="ar-EG"/>
              </w:rPr>
            </w:pPr>
            <w:r w:rsidRPr="003F643D">
              <w:rPr>
                <w:rFonts w:ascii="Times New Roman" w:hAnsi="Times New Roman" w:cs="Sakkal Majalla"/>
                <w:b/>
                <w:bCs/>
                <w:color w:val="0D0D0D" w:themeColor="text1" w:themeTint="F2"/>
                <w:spacing w:val="10"/>
                <w:sz w:val="24"/>
                <w:szCs w:val="24"/>
                <w:lang w:bidi="ar-EG"/>
              </w:rPr>
              <w:t>3</w:t>
            </w:r>
          </w:p>
        </w:tc>
        <w:tc>
          <w:tcPr>
            <w:tcW w:w="669" w:type="dxa"/>
            <w:tcBorders>
              <w:bottom w:val="single" w:sz="4" w:space="0" w:color="auto"/>
            </w:tcBorders>
            <w:shd w:val="clear" w:color="auto" w:fill="B8CCE4" w:themeFill="accent1" w:themeFillTint="66"/>
          </w:tcPr>
          <w:p w14:paraId="7C27841F" w14:textId="3D8E3E89"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4</w:t>
            </w:r>
          </w:p>
        </w:tc>
        <w:tc>
          <w:tcPr>
            <w:tcW w:w="671" w:type="dxa"/>
            <w:tcBorders>
              <w:bottom w:val="single" w:sz="4" w:space="0" w:color="auto"/>
              <w:right w:val="single" w:sz="12" w:space="0" w:color="auto"/>
            </w:tcBorders>
            <w:shd w:val="clear" w:color="auto" w:fill="B8CCE4" w:themeFill="accent1" w:themeFillTint="66"/>
          </w:tcPr>
          <w:p w14:paraId="130499EB" w14:textId="02843B5A" w:rsidR="00DB0BF6" w:rsidRPr="00373BD5" w:rsidRDefault="00DB0BF6" w:rsidP="00DB0BF6">
            <w:pPr>
              <w:bidi w:val="0"/>
              <w:jc w:val="center"/>
              <w:rPr>
                <w:rFonts w:ascii="Sakkal Majalla" w:hAnsi="Sakkal Majalla" w:cs="Sakkal Majalla"/>
                <w:b/>
                <w:bCs/>
                <w:spacing w:val="10"/>
                <w:sz w:val="24"/>
                <w:szCs w:val="24"/>
                <w:rtl/>
                <w:lang w:bidi="ar-EG"/>
              </w:rPr>
            </w:pPr>
            <w:r>
              <w:rPr>
                <w:rFonts w:ascii="Times New Roman" w:hAnsi="Times New Roman" w:cs="Sakkal Majalla"/>
                <w:b/>
                <w:bCs/>
                <w:color w:val="0D0D0D" w:themeColor="text1" w:themeTint="F2"/>
                <w:spacing w:val="10"/>
                <w:sz w:val="24"/>
                <w:szCs w:val="24"/>
                <w:lang w:bidi="ar-EG"/>
              </w:rPr>
              <w:t>5</w:t>
            </w:r>
          </w:p>
        </w:tc>
      </w:tr>
      <w:tr w:rsidR="00F734AB" w:rsidRPr="00373BD5" w14:paraId="34307E0D" w14:textId="77777777" w:rsidTr="009955F9">
        <w:trPr>
          <w:trHeight w:val="287"/>
          <w:jc w:val="center"/>
        </w:trPr>
        <w:tc>
          <w:tcPr>
            <w:tcW w:w="961" w:type="dxa"/>
            <w:tcBorders>
              <w:left w:val="single" w:sz="12" w:space="0" w:color="auto"/>
            </w:tcBorders>
            <w:shd w:val="clear" w:color="auto" w:fill="DBE5F1" w:themeFill="accent1"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DBE5F1" w:themeFill="accent1"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DBE5F1" w:themeFill="accent1"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DBE5F1" w:themeFill="accent1"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the sufficient number of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forms an advisory committee, comprised of members of professionals and experts 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9955F9">
        <w:trPr>
          <w:trHeight w:val="276"/>
          <w:jc w:val="center"/>
        </w:trPr>
        <w:tc>
          <w:tcPr>
            <w:tcW w:w="961" w:type="dxa"/>
            <w:tcBorders>
              <w:left w:val="single" w:sz="12" w:space="0" w:color="auto"/>
            </w:tcBorders>
            <w:shd w:val="clear" w:color="auto" w:fill="DBE5F1" w:themeFill="accent1"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DBE5F1" w:themeFill="accent1"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DBE5F1" w:themeFill="accent1"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DBE5F1" w:themeFill="accent1"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DBE5F1" w:themeFill="accent1"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DBE5F1" w:themeFill="accent1"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DBE5F1" w:themeFill="accent1"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lastRenderedPageBreak/>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are linked to its mission, consistent with the goals of the institution/college, and characterized by being clear, realistic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mission and goals are reviewed periodically with the participation of relevant stakeholders, and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DBE5F1" w:themeFill="accent1"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DBE5F1" w:themeFill="accent1"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The program has the sufficient number of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sufficient amount of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lastRenderedPageBreak/>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DBE5F1" w:themeFill="accent1"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4AC190E0"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Graduate attributes and learning outcomes at the program level must be precisely defined, consistent with the requirements of the </w:t>
      </w:r>
      <w:r w:rsidR="000824C1">
        <w:rPr>
          <w:rFonts w:asciiTheme="majorBidi" w:hAnsiTheme="majorBidi" w:cstheme="majorBidi"/>
          <w:sz w:val="20"/>
          <w:szCs w:val="20"/>
          <w:lang w:bidi="ar-LB"/>
        </w:rPr>
        <w:t>National Qualifications Framework (NQF)</w:t>
      </w:r>
      <w:r w:rsidRPr="006D66CD">
        <w:rPr>
          <w:rFonts w:asciiTheme="majorBidi" w:hAnsiTheme="majorBidi" w:cstheme="majorBidi"/>
          <w:sz w:val="20"/>
          <w:szCs w:val="20"/>
          <w:lang w:bidi="ar-LB"/>
        </w:rPr>
        <w:t xml:space="preserve">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9955F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9955F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9955F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B8CCE4" w:themeFill="accent1"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9955F9">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its graduate attributes and intended learning outcomes that are consistent with its mission, and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6B039D49"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 xml:space="preserve">The graduate attributes and learning outcomes are consistent with the requirements of the </w:t>
            </w:r>
            <w:r w:rsidR="000824C1">
              <w:rPr>
                <w:rFonts w:asciiTheme="majorBidi" w:hAnsiTheme="majorBidi" w:cstheme="majorBidi"/>
                <w:b/>
                <w:bCs/>
                <w:sz w:val="24"/>
                <w:szCs w:val="24"/>
              </w:rPr>
              <w:t>National Qualifications Framework (NQF)</w:t>
            </w:r>
            <w:r w:rsidRPr="00732D96">
              <w:rPr>
                <w:rFonts w:asciiTheme="majorBidi" w:hAnsiTheme="majorBidi" w:cstheme="majorBidi"/>
                <w:b/>
                <w:bCs/>
                <w:sz w:val="24"/>
                <w:szCs w:val="24"/>
              </w:rPr>
              <w:t xml:space="preserve">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applies appropriate mechanisms and tools for measuring the graduate attributes and learning outcomes, and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DBE5F1" w:themeFill="accent1"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DBE5F1" w:themeFill="accent1"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DBE5F1" w:themeFill="accent1"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DBE5F1" w:themeFill="accent1"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DBE5F1" w:themeFill="accent1"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curriculum design considers fulfilling the program goals and learning outcomes, and the educational, scientific, technical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study plan ensures the balance between the general and specialty requirements, and between theoretical and applied aspects; and it takes into account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learning outcomes of the field experience activities are aligned with the learning outcomes of the program; and appropriate strategies for training, assessment, and training venues are identified in order to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9955F9">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9955F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criteria and requirements for student admissions in the program must be clear and publicly disclosed, and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approved and publicly disclosed criteria and requirements for the admission and registration of students that are appropriate to the nature of the program, and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Students are provided with effective academic, professional, psychological, and social guidance, and counseling services through qualified and sufficient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54899EE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takes into consideration the special needs of its students (e.g., students with </w:t>
            </w:r>
            <w:r w:rsidR="00B14DF6" w:rsidRPr="00B14DF6">
              <w:rPr>
                <w:rFonts w:asciiTheme="majorBidi" w:hAnsiTheme="majorBidi" w:cstheme="majorBidi"/>
                <w:sz w:val="24"/>
                <w:szCs w:val="24"/>
              </w:rPr>
              <w:t xml:space="preserve">disabilities </w:t>
            </w:r>
            <w:r w:rsidRPr="006D66CD">
              <w:rPr>
                <w:rFonts w:asciiTheme="majorBidi" w:hAnsiTheme="majorBidi" w:cstheme="majorBidi"/>
                <w:sz w:val="24"/>
                <w:szCs w:val="24"/>
              </w:rPr>
              <w:t>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program has an adequate number of faculty members at all sites where it is offered (e.g., male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assessment and development activities of the program and institution</w:t>
            </w:r>
            <w:proofErr w:type="gramStart"/>
            <w:r w:rsidRPr="006D66CD">
              <w:rPr>
                <w:rFonts w:asciiTheme="majorBidi" w:hAnsiTheme="majorBidi" w:cstheme="majorBidi"/>
                <w:sz w:val="24"/>
                <w:szCs w:val="24"/>
              </w:rPr>
              <w:t>..</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9955F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B8CCE4" w:themeFill="accent1"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B8CCE4" w:themeFill="accent1"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B8CCE4" w:themeFill="accent1"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B8CCE4" w:themeFill="accent1"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9955F9">
        <w:trPr>
          <w:trHeight w:val="837"/>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B8CCE4" w:themeFill="accent1"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B8CCE4" w:themeFill="accent1"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B8CCE4" w:themeFill="accent1"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B8CCE4" w:themeFill="accent1"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B8CCE4" w:themeFill="accent1"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9955F9">
        <w:trPr>
          <w:trHeight w:val="64"/>
          <w:tblHeader/>
          <w:jc w:val="center"/>
        </w:trPr>
        <w:tc>
          <w:tcPr>
            <w:tcW w:w="5514" w:type="dxa"/>
            <w:gridSpan w:val="2"/>
            <w:vMerge/>
            <w:tcBorders>
              <w:left w:val="single" w:sz="12" w:space="0" w:color="auto"/>
              <w:tr2bl w:val="single" w:sz="4" w:space="0" w:color="auto"/>
            </w:tcBorders>
            <w:shd w:val="clear" w:color="auto" w:fill="B8CCE4" w:themeFill="accent1"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B8CCE4" w:themeFill="accent1"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B8CCE4" w:themeFill="accent1"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B8CCE4" w:themeFill="accent1"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B8CCE4" w:themeFill="accent1"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B8CCE4" w:themeFill="accent1"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B8CCE4" w:themeFill="accent1"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The Library has a sufficient number of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w:t>
            </w:r>
            <w:proofErr w:type="gramStart"/>
            <w:r w:rsidRPr="007F61BB">
              <w:rPr>
                <w:rFonts w:asciiTheme="majorBidi" w:hAnsiTheme="majorBidi" w:cstheme="majorBidi"/>
                <w:b/>
                <w:bCs/>
                <w:sz w:val="24"/>
                <w:szCs w:val="24"/>
              </w:rPr>
              <w:t>and  materials</w:t>
            </w:r>
            <w:proofErr w:type="gramEnd"/>
            <w:r w:rsidRPr="007F61BB">
              <w:rPr>
                <w:rFonts w:asciiTheme="majorBidi" w:hAnsiTheme="majorBidi" w:cstheme="majorBidi"/>
                <w:b/>
                <w:bCs/>
                <w:sz w:val="24"/>
                <w:szCs w:val="24"/>
              </w:rPr>
              <w:t xml:space="preserve"> that are suitable to the specialty and sufficient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1322EFF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w:t>
            </w:r>
            <w:r w:rsidR="00B14DF6" w:rsidRPr="00B14DF6">
              <w:rPr>
                <w:rFonts w:asciiTheme="majorBidi" w:hAnsiTheme="majorBidi" w:cstheme="majorBidi"/>
                <w:sz w:val="24"/>
                <w:szCs w:val="24"/>
              </w:rPr>
              <w:t>disabilities</w:t>
            </w:r>
            <w:r w:rsidRPr="006D66CD">
              <w:rPr>
                <w:rFonts w:asciiTheme="majorBidi" w:hAnsiTheme="majorBidi" w:cstheme="majorBidi"/>
                <w:sz w:val="24"/>
                <w:szCs w:val="24"/>
              </w:rPr>
              <w:t xml:space="preserve">.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9955F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BE5F1" w:themeFill="accent1" w:themeFillTint="33"/>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0824C1">
      <w:footerReference w:type="default" r:id="rId8"/>
      <w:headerReference w:type="first" r:id="rId9"/>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171E7" w14:textId="77777777" w:rsidR="00D144E3" w:rsidRDefault="00D144E3" w:rsidP="00141069">
      <w:pPr>
        <w:spacing w:after="0" w:line="240" w:lineRule="auto"/>
      </w:pPr>
      <w:r>
        <w:separator/>
      </w:r>
    </w:p>
  </w:endnote>
  <w:endnote w:type="continuationSeparator" w:id="0">
    <w:p w14:paraId="69AF4E34" w14:textId="77777777" w:rsidR="00D144E3" w:rsidRDefault="00D144E3"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00112116"/>
      <w:docPartObj>
        <w:docPartGallery w:val="Page Numbers (Bottom of Page)"/>
        <w:docPartUnique/>
      </w:docPartObj>
    </w:sdtPr>
    <w:sdtEndPr/>
    <w:sdtContent>
      <w:sdt>
        <w:sdtPr>
          <w:rPr>
            <w:rtl/>
          </w:rPr>
          <w:id w:val="1278374973"/>
          <w:docPartObj>
            <w:docPartGallery w:val="Page Numbers (Bottom of Page)"/>
            <w:docPartUnique/>
          </w:docPartObj>
        </w:sdtPr>
        <w:sdtEndPr/>
        <w:sdtContent>
          <w:p w14:paraId="4738FFE7" w14:textId="7B40B0A7" w:rsidR="00566CA0" w:rsidRPr="00A77002" w:rsidRDefault="000824C1" w:rsidP="000824C1">
            <w:pPr>
              <w:pStyle w:val="ab"/>
              <w:rPr>
                <w:rStyle w:val="ac"/>
                <w:rtl/>
              </w:rPr>
            </w:pPr>
            <w:r>
              <w:rPr>
                <w:noProof/>
              </w:rPr>
              <w:drawing>
                <wp:anchor distT="0" distB="0" distL="114300" distR="114300" simplePos="0" relativeHeight="251660288" behindDoc="1" locked="0" layoutInCell="1" allowOverlap="1" wp14:anchorId="4EEA31DA" wp14:editId="641FBB45">
                  <wp:simplePos x="0" y="0"/>
                  <wp:positionH relativeFrom="column">
                    <wp:posOffset>-574983</wp:posOffset>
                  </wp:positionH>
                  <wp:positionV relativeFrom="paragraph">
                    <wp:posOffset>-189115</wp:posOffset>
                  </wp:positionV>
                  <wp:extent cx="7303008" cy="760730"/>
                  <wp:effectExtent l="0" t="0" r="0" b="1270"/>
                  <wp:wrapNone/>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3008" cy="7607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7511767" wp14:editId="4902925D">
                      <wp:simplePos x="0" y="0"/>
                      <wp:positionH relativeFrom="column">
                        <wp:posOffset>-430901</wp:posOffset>
                      </wp:positionH>
                      <wp:positionV relativeFrom="paragraph">
                        <wp:posOffset>-14911</wp:posOffset>
                      </wp:positionV>
                      <wp:extent cx="579120" cy="400050"/>
                      <wp:effectExtent l="0" t="0" r="0" b="0"/>
                      <wp:wrapSquare wrapText="bothSides"/>
                      <wp:docPr id="3"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2714C026" w14:textId="77777777" w:rsidR="000824C1" w:rsidRPr="00705C7E" w:rsidRDefault="000824C1" w:rsidP="000824C1">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16B41">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1767" id="_x0000_t202" coordsize="21600,21600" o:spt="202" path="m,l,21600r21600,l21600,xe">
                      <v:stroke joinstyle="miter"/>
                      <v:path gradientshapeok="t" o:connecttype="rect"/>
                    </v:shapetype>
                    <v:shape id="Text Box 5" o:spid="_x0000_s1026" type="#_x0000_t202" style="position:absolute;left:0;text-align:left;margin-left:-33.95pt;margin-top:-1.15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" filled="f" stroked="f" strokeweight=".5pt">
                      <v:textbox>
                        <w:txbxContent>
                          <w:p w14:paraId="2714C026" w14:textId="77777777" w:rsidR="000824C1" w:rsidRPr="00705C7E" w:rsidRDefault="000824C1" w:rsidP="000824C1">
                            <w:pPr>
                              <w:pStyle w:val="ab"/>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016B41">
                              <w:rPr>
                                <w:rFonts w:ascii="DIN Next LT W23" w:hAnsi="DIN Next LT W23" w:cs="DIN Next LT W23"/>
                                <w:noProof/>
                                <w:color w:val="FFFFFF" w:themeColor="background1"/>
                                <w:sz w:val="28"/>
                                <w:szCs w:val="28"/>
                                <w:rtl/>
                              </w:rPr>
                              <w:t>21</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2BBE9" w14:textId="77777777" w:rsidR="00D144E3" w:rsidRDefault="00D144E3" w:rsidP="00141069">
      <w:pPr>
        <w:spacing w:after="0" w:line="240" w:lineRule="auto"/>
      </w:pPr>
      <w:r>
        <w:separator/>
      </w:r>
    </w:p>
  </w:footnote>
  <w:footnote w:type="continuationSeparator" w:id="0">
    <w:p w14:paraId="6A26D260" w14:textId="77777777" w:rsidR="00D144E3" w:rsidRDefault="00D144E3" w:rsidP="0014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CEC73" w14:textId="385AAA28" w:rsidR="00566CA0" w:rsidRDefault="00566CA0">
    <w:pPr>
      <w:pStyle w:val="aa"/>
    </w:pPr>
    <w:r>
      <w:rPr>
        <w:noProof/>
      </w:rPr>
      <w:drawing>
        <wp:anchor distT="0" distB="0" distL="114300" distR="114300" simplePos="0" relativeHeight="251656192" behindDoc="1" locked="0" layoutInCell="1" allowOverlap="1" wp14:anchorId="02782F36" wp14:editId="593348F9">
          <wp:simplePos x="0" y="0"/>
          <wp:positionH relativeFrom="column">
            <wp:posOffset>-648838</wp:posOffset>
          </wp:positionH>
          <wp:positionV relativeFrom="paragraph">
            <wp:posOffset>-173681</wp:posOffset>
          </wp:positionV>
          <wp:extent cx="7380611" cy="10437612"/>
          <wp:effectExtent l="0" t="0" r="0" b="1905"/>
          <wp:wrapNone/>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a:extLst>
                      <a:ext uri="{28A0092B-C50C-407E-A947-70E740481C1C}">
                        <a14:useLocalDpi xmlns:a14="http://schemas.microsoft.com/office/drawing/2010/main" val="0"/>
                      </a:ext>
                    </a:extLst>
                  </a:blip>
                  <a:stretch>
                    <a:fillRect/>
                  </a:stretch>
                </pic:blipFill>
                <pic:spPr>
                  <a:xfrm>
                    <a:off x="0" y="0"/>
                    <a:ext cx="7380611" cy="10437612"/>
                  </a:xfrm>
                  <a:prstGeom prst="rect">
                    <a:avLst/>
                  </a:prstGeom>
                </pic:spPr>
              </pic:pic>
            </a:graphicData>
          </a:graphic>
          <wp14:sizeRelH relativeFrom="page">
            <wp14:pctWidth>0</wp14:pctWidth>
          </wp14:sizeRelH>
          <wp14:sizeRelV relativeFrom="page">
            <wp14:pctHeight>0</wp14:pctHeight>
          </wp14:sizeRelV>
        </wp:anchor>
      </w:drawing>
    </w:r>
    <w:r w:rsidR="000824C1" w:rsidRPr="000824C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92D"/>
    <w:rsid w:val="00004332"/>
    <w:rsid w:val="00007583"/>
    <w:rsid w:val="000079DA"/>
    <w:rsid w:val="00011CE4"/>
    <w:rsid w:val="00013294"/>
    <w:rsid w:val="000157B0"/>
    <w:rsid w:val="00016B41"/>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24C1"/>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6A44"/>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4EC5"/>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0FDB"/>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55F9"/>
    <w:rsid w:val="0099604F"/>
    <w:rsid w:val="009A06E0"/>
    <w:rsid w:val="009A1650"/>
    <w:rsid w:val="009A39D2"/>
    <w:rsid w:val="009A57FB"/>
    <w:rsid w:val="009B003A"/>
    <w:rsid w:val="009B1682"/>
    <w:rsid w:val="009B21F8"/>
    <w:rsid w:val="009B2E51"/>
    <w:rsid w:val="009B3E6B"/>
    <w:rsid w:val="009B3E9E"/>
    <w:rsid w:val="009B4A85"/>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14DF6"/>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6A7"/>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44E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0BF6"/>
    <w:rsid w:val="00DB21BB"/>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A7059"/>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D4"/>
    <w:pPr>
      <w:bidi/>
    </w:pPr>
  </w:style>
  <w:style w:type="paragraph" w:styleId="1">
    <w:name w:val="heading 1"/>
    <w:basedOn w:val="a"/>
    <w:next w:val="a"/>
    <w:link w:val="1Char"/>
    <w:autoRedefine/>
    <w:qFormat/>
    <w:rsid w:val="000824C1"/>
    <w:pPr>
      <w:keepNext/>
      <w:bidi w:val="0"/>
      <w:spacing w:after="0" w:line="360" w:lineRule="auto"/>
      <w:outlineLvl w:val="0"/>
    </w:pPr>
    <w:rPr>
      <w:rFonts w:ascii="Times New Roman" w:eastAsia="Times New Roman" w:hAnsi="Times New Roman" w:cs="Sakkal Majalla"/>
      <w:b/>
      <w:bCs/>
      <w:color w:val="365F91" w:themeColor="accent1" w:themeShade="BF"/>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0824C1"/>
    <w:rPr>
      <w:rFonts w:ascii="Times New Roman" w:eastAsia="Times New Roman" w:hAnsi="Times New Roman" w:cs="Sakkal Majalla"/>
      <w:b/>
      <w:bCs/>
      <w:color w:val="365F91" w:themeColor="accent1" w:themeShade="BF"/>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nhideWhenUsed/>
    <w:rsid w:val="00141069"/>
    <w:pPr>
      <w:tabs>
        <w:tab w:val="center" w:pos="4153"/>
        <w:tab w:val="right" w:pos="8306"/>
      </w:tabs>
      <w:spacing w:after="0" w:line="240" w:lineRule="auto"/>
    </w:pPr>
  </w:style>
  <w:style w:type="character" w:customStyle="1" w:styleId="Char4">
    <w:name w:val="تذييل الصفحة Char"/>
    <w:basedOn w:val="a0"/>
    <w:link w:val="ab"/>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625A-1CCB-4C0E-8BA1-84F546DE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6960</Words>
  <Characters>39676</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alsumait</dc:creator>
  <cp:lastModifiedBy>عمر سيد عمر</cp:lastModifiedBy>
  <cp:revision>2</cp:revision>
  <cp:lastPrinted>2020-04-23T15:03:00Z</cp:lastPrinted>
  <dcterms:created xsi:type="dcterms:W3CDTF">2020-12-21T10:09:00Z</dcterms:created>
  <dcterms:modified xsi:type="dcterms:W3CDTF">2020-12-21T10:09:00Z</dcterms:modified>
</cp:coreProperties>
</file>