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C5" w:rsidRDefault="00C760C5" w:rsidP="00C760C5">
      <w:pPr>
        <w:jc w:val="center"/>
        <w:rPr>
          <w:rFonts w:cs="PT Bold Heading"/>
          <w:b/>
          <w:bCs/>
          <w:sz w:val="28"/>
          <w:szCs w:val="28"/>
          <w:rtl/>
          <w:lang w:bidi="ar-JO"/>
        </w:rPr>
      </w:pPr>
      <w:r>
        <w:rPr>
          <w:rFonts w:cs="PT Bold Heading" w:hint="cs"/>
          <w:b/>
          <w:bCs/>
          <w:sz w:val="28"/>
          <w:szCs w:val="28"/>
          <w:rtl/>
          <w:lang w:bidi="ar-JO"/>
        </w:rPr>
        <w:t>مختصر توصيف المقرر</w:t>
      </w:r>
    </w:p>
    <w:p w:rsidR="00C760C5" w:rsidRDefault="00C760C5" w:rsidP="00C760C5">
      <w:pPr>
        <w:jc w:val="center"/>
      </w:pPr>
    </w:p>
    <w:p w:rsidR="00C760C5" w:rsidRDefault="00C760C5" w:rsidP="00C760C5">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C760C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raditional Arabic" w:hAnsi="Traditional Arabic" w:cs="Traditional Arabic"/>
                <w:b/>
                <w:bCs/>
                <w:sz w:val="28"/>
                <w:szCs w:val="28"/>
                <w:lang w:val="fr-FR"/>
              </w:rPr>
            </w:pPr>
            <w:r>
              <w:rPr>
                <w:rFonts w:ascii="Traditional Arabic" w:hAnsi="Traditional Arabic" w:cs="Traditional Arabic"/>
                <w:b/>
                <w:bCs/>
                <w:sz w:val="28"/>
                <w:szCs w:val="28"/>
                <w:rtl/>
                <w:lang w:val="fr-FR"/>
              </w:rPr>
              <w:t>أحكام الاسرة</w:t>
            </w:r>
          </w:p>
        </w:tc>
      </w:tr>
      <w:tr w:rsidR="00C760C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217</w:t>
            </w:r>
          </w:p>
        </w:tc>
      </w:tr>
      <w:tr w:rsidR="00C760C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213</w:t>
            </w:r>
          </w:p>
        </w:tc>
      </w:tr>
      <w:tr w:rsidR="00C760C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الثالث</w:t>
            </w:r>
          </w:p>
        </w:tc>
      </w:tr>
      <w:tr w:rsidR="00C760C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C760C5" w:rsidRDefault="00C760C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C760C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C760C5" w:rsidRDefault="00C760C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C760C5" w:rsidRDefault="00C760C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C760C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C760C5" w:rsidRDefault="00C760C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C760C5" w:rsidRDefault="00C760C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C760C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C760C5" w:rsidRDefault="00C760C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C760C5" w:rsidRDefault="00C760C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C760C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C760C5" w:rsidRDefault="00C760C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C760C5" w:rsidRDefault="00C760C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C760C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C760C5" w:rsidRDefault="00C760C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C760C5" w:rsidRDefault="00C760C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C760C5" w:rsidRDefault="00C760C5" w:rsidP="00C760C5">
      <w:pPr>
        <w:rPr>
          <w:rFonts w:asciiTheme="minorBidi" w:hAnsiTheme="minorBidi"/>
          <w:b/>
          <w:bCs/>
          <w:i/>
          <w:iCs/>
          <w:sz w:val="24"/>
          <w:szCs w:val="24"/>
          <w:rtl/>
        </w:rPr>
      </w:pPr>
    </w:p>
    <w:p w:rsidR="00C760C5" w:rsidRDefault="00C760C5" w:rsidP="00C760C5">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0"/>
        <w:gridCol w:w="4340"/>
      </w:tblGrid>
      <w:tr w:rsidR="00C760C5"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C760C5" w:rsidRDefault="00C760C5"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بالزواج</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وبيان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أهدافه</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وحكمه، أحكام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الخطبة،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أركان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وشروطه وموانعه،</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أحكام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الولاية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الزواج والشروط</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المقترنة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بالعقد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وآثارها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عليه، الحقوق</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الزوجية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لكل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طرفيه،</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الحضانة وأحكامها،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الطلاق</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والفسخ،</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والتفريق بالخلع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وبالايلاء</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واللعان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والظهار</w:t>
            </w:r>
            <w:r>
              <w:rPr>
                <w:rFonts w:ascii="Traditional Arabic" w:eastAsiaTheme="minorHAnsi" w:hAnsi="Traditional Arabic" w:cs="Traditional Arabic"/>
                <w:sz w:val="28"/>
                <w:szCs w:val="28"/>
                <w:lang w:val="fr-FR"/>
              </w:rPr>
              <w:t>.</w:t>
            </w:r>
          </w:p>
        </w:tc>
        <w:tc>
          <w:tcPr>
            <w:tcW w:w="4644" w:type="dxa"/>
            <w:tcBorders>
              <w:top w:val="double" w:sz="4" w:space="0" w:color="auto"/>
              <w:left w:val="single" w:sz="4" w:space="0" w:color="auto"/>
              <w:bottom w:val="double" w:sz="4" w:space="0" w:color="auto"/>
              <w:right w:val="double" w:sz="4" w:space="0" w:color="auto"/>
            </w:tcBorders>
            <w:hideMark/>
          </w:tcPr>
          <w:p w:rsidR="00C760C5" w:rsidRPr="00813069" w:rsidRDefault="00C760C5"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Identifying marriage and showing its aims and provision, the provisions on the engagement, the elements of the contract, its conditions, its impediments, the provisions on tutorship in marriage, the conditions coupled with the contract and their </w:t>
            </w:r>
            <w:r w:rsidRPr="00813069">
              <w:rPr>
                <w:rFonts w:ascii="Traditional Arabic" w:eastAsiaTheme="minorHAnsi" w:hAnsi="Traditional Arabic" w:cs="Traditional Arabic"/>
                <w:sz w:val="28"/>
                <w:szCs w:val="28"/>
              </w:rPr>
              <w:lastRenderedPageBreak/>
              <w:t xml:space="preserve">effect on it, the conjugal rights for each party, custody and its provisions, divorce and recession, separation by </w:t>
            </w:r>
            <w:proofErr w:type="spellStart"/>
            <w:r w:rsidRPr="00813069">
              <w:rPr>
                <w:rFonts w:ascii="Traditional Arabic" w:eastAsiaTheme="minorHAnsi" w:hAnsi="Traditional Arabic" w:cs="Traditional Arabic"/>
                <w:sz w:val="28"/>
                <w:szCs w:val="28"/>
              </w:rPr>
              <w:t>Kholch</w:t>
            </w:r>
            <w:proofErr w:type="spellEnd"/>
            <w:r w:rsidRPr="00813069">
              <w:rPr>
                <w:rFonts w:ascii="Traditional Arabic" w:eastAsiaTheme="minorHAnsi" w:hAnsi="Traditional Arabic" w:cs="Traditional Arabic"/>
                <w:sz w:val="28"/>
                <w:szCs w:val="28"/>
              </w:rPr>
              <w:t xml:space="preserve">, </w:t>
            </w:r>
            <w:proofErr w:type="spellStart"/>
            <w:r w:rsidRPr="00813069">
              <w:rPr>
                <w:rFonts w:ascii="Traditional Arabic" w:eastAsiaTheme="minorHAnsi" w:hAnsi="Traditional Arabic" w:cs="Traditional Arabic"/>
                <w:sz w:val="28"/>
                <w:szCs w:val="28"/>
              </w:rPr>
              <w:t>ila</w:t>
            </w:r>
            <w:proofErr w:type="spellEnd"/>
            <w:r w:rsidRPr="00813069">
              <w:rPr>
                <w:rFonts w:ascii="Traditional Arabic" w:eastAsiaTheme="minorHAnsi" w:hAnsi="Traditional Arabic" w:cs="Traditional Arabic"/>
                <w:sz w:val="28"/>
                <w:szCs w:val="28"/>
              </w:rPr>
              <w:t xml:space="preserve">, </w:t>
            </w:r>
            <w:proofErr w:type="spellStart"/>
            <w:r w:rsidRPr="00813069">
              <w:rPr>
                <w:rFonts w:ascii="Traditional Arabic" w:eastAsiaTheme="minorHAnsi" w:hAnsi="Traditional Arabic" w:cs="Traditional Arabic"/>
                <w:sz w:val="28"/>
                <w:szCs w:val="28"/>
              </w:rPr>
              <w:t>Lu’an</w:t>
            </w:r>
            <w:proofErr w:type="spellEnd"/>
            <w:r w:rsidRPr="00813069">
              <w:rPr>
                <w:rFonts w:ascii="Traditional Arabic" w:eastAsiaTheme="minorHAnsi" w:hAnsi="Traditional Arabic" w:cs="Traditional Arabic"/>
                <w:sz w:val="28"/>
                <w:szCs w:val="28"/>
              </w:rPr>
              <w:t xml:space="preserve"> and </w:t>
            </w:r>
            <w:proofErr w:type="spellStart"/>
            <w:r w:rsidRPr="00813069">
              <w:rPr>
                <w:rFonts w:ascii="Traditional Arabic" w:eastAsiaTheme="minorHAnsi" w:hAnsi="Traditional Arabic" w:cs="Traditional Arabic"/>
                <w:sz w:val="28"/>
                <w:szCs w:val="28"/>
              </w:rPr>
              <w:t>Zihar</w:t>
            </w:r>
            <w:proofErr w:type="spellEnd"/>
            <w:r w:rsidRPr="00813069">
              <w:rPr>
                <w:rFonts w:ascii="Traditional Arabic" w:eastAsiaTheme="minorHAnsi" w:hAnsi="Traditional Arabic" w:cs="Traditional Arabic"/>
                <w:sz w:val="28"/>
                <w:szCs w:val="28"/>
              </w:rPr>
              <w:t>.</w:t>
            </w:r>
          </w:p>
        </w:tc>
      </w:tr>
    </w:tbl>
    <w:p w:rsidR="00C760C5" w:rsidRDefault="00C760C5" w:rsidP="00C760C5">
      <w:pPr>
        <w:rPr>
          <w:rFonts w:cs="Arabic Transparent"/>
          <w:b/>
          <w:bCs/>
          <w:sz w:val="28"/>
          <w:szCs w:val="28"/>
          <w:rtl/>
        </w:rPr>
      </w:pPr>
    </w:p>
    <w:p w:rsidR="00C760C5" w:rsidRDefault="00C760C5" w:rsidP="00C760C5">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C760C5"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C760C5" w:rsidRDefault="00C760C5"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tcPr>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6"/>
                <w:szCs w:val="26"/>
                <w:rtl/>
                <w:lang w:val="fr-FR"/>
              </w:rPr>
            </w:pPr>
            <w:r>
              <w:rPr>
                <w:rFonts w:ascii="Traditional Arabic" w:eastAsiaTheme="minorHAnsi" w:hAnsi="Traditional Arabic" w:cs="Traditional Arabic"/>
                <w:sz w:val="26"/>
                <w:szCs w:val="26"/>
                <w:rtl/>
                <w:lang w:val="fr-FR"/>
              </w:rPr>
              <w:t>معرفة أحكام العلاقات الأسرية في الإسلام.</w:t>
            </w:r>
          </w:p>
          <w:p w:rsidR="00C760C5" w:rsidRDefault="00C760C5" w:rsidP="00746632">
            <w:pPr>
              <w:autoSpaceDE w:val="0"/>
              <w:autoSpaceDN w:val="0"/>
              <w:adjustRightInd w:val="0"/>
              <w:spacing w:after="0" w:line="240" w:lineRule="auto"/>
              <w:rPr>
                <w:rFonts w:ascii="Traditional Arabic" w:hAnsi="Traditional Arabic" w:cs="Traditional Arabic"/>
                <w:sz w:val="28"/>
                <w:szCs w:val="28"/>
                <w:lang w:val="fr-FR"/>
              </w:rPr>
            </w:pPr>
          </w:p>
        </w:tc>
        <w:tc>
          <w:tcPr>
            <w:tcW w:w="4205" w:type="dxa"/>
            <w:tcBorders>
              <w:top w:val="double" w:sz="4" w:space="0" w:color="auto"/>
              <w:left w:val="single" w:sz="4" w:space="0" w:color="auto"/>
              <w:bottom w:val="single" w:sz="4" w:space="0" w:color="auto"/>
              <w:right w:val="double" w:sz="4" w:space="0" w:color="auto"/>
            </w:tcBorders>
            <w:hideMark/>
          </w:tcPr>
          <w:p w:rsidR="00C760C5" w:rsidRPr="00813069" w:rsidRDefault="00C760C5" w:rsidP="00746632">
            <w:pPr>
              <w:autoSpaceDE w:val="0"/>
              <w:autoSpaceDN w:val="0"/>
              <w:bidi w:val="0"/>
              <w:adjustRightInd w:val="0"/>
              <w:spacing w:after="0" w:line="240" w:lineRule="auto"/>
              <w:jc w:val="both"/>
              <w:rPr>
                <w:rFonts w:ascii="Traditional Arabic" w:eastAsiaTheme="minorHAnsi" w:hAnsi="Traditional Arabic" w:cs="Traditional Arabic"/>
                <w:sz w:val="26"/>
                <w:szCs w:val="26"/>
              </w:rPr>
            </w:pPr>
            <w:r w:rsidRPr="00813069">
              <w:rPr>
                <w:rFonts w:ascii="Traditional Arabic" w:eastAsiaTheme="minorHAnsi" w:hAnsi="Traditional Arabic" w:cs="Traditional Arabic"/>
                <w:sz w:val="26"/>
                <w:szCs w:val="26"/>
              </w:rPr>
              <w:t>To know the provisions on the family relations in Islam</w:t>
            </w:r>
          </w:p>
        </w:tc>
      </w:tr>
      <w:tr w:rsidR="00C760C5"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C760C5" w:rsidRDefault="00C760C5"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single" w:sz="4" w:space="0" w:color="auto"/>
              <w:right w:val="single" w:sz="4" w:space="0" w:color="auto"/>
            </w:tcBorders>
            <w:hideMark/>
          </w:tcPr>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6"/>
                <w:szCs w:val="26"/>
                <w:rtl/>
                <w:lang w:val="fr-FR"/>
              </w:rPr>
            </w:pPr>
            <w:r>
              <w:rPr>
                <w:rFonts w:ascii="Traditional Arabic" w:eastAsiaTheme="minorHAnsi" w:hAnsi="Traditional Arabic" w:cs="Traditional Arabic"/>
                <w:sz w:val="26"/>
                <w:szCs w:val="26"/>
                <w:rtl/>
                <w:lang w:val="fr-FR"/>
              </w:rPr>
              <w:t>معرفة أحكام في عقد الزواج وبيان أركانه</w:t>
            </w:r>
          </w:p>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6"/>
                <w:szCs w:val="26"/>
                <w:lang w:val="fr-FR"/>
              </w:rPr>
            </w:pPr>
            <w:r>
              <w:rPr>
                <w:rFonts w:ascii="Traditional Arabic" w:eastAsiaTheme="minorHAnsi" w:hAnsi="Traditional Arabic" w:cs="Traditional Arabic"/>
                <w:sz w:val="26"/>
                <w:szCs w:val="26"/>
                <w:rtl/>
                <w:lang w:val="fr-FR"/>
              </w:rPr>
              <w:t>وشروطه وموانعه</w:t>
            </w:r>
          </w:p>
        </w:tc>
        <w:tc>
          <w:tcPr>
            <w:tcW w:w="4205" w:type="dxa"/>
            <w:tcBorders>
              <w:top w:val="single" w:sz="4" w:space="0" w:color="auto"/>
              <w:left w:val="single" w:sz="4" w:space="0" w:color="auto"/>
              <w:bottom w:val="single" w:sz="4" w:space="0" w:color="auto"/>
              <w:right w:val="double" w:sz="4" w:space="0" w:color="auto"/>
            </w:tcBorders>
            <w:hideMark/>
          </w:tcPr>
          <w:p w:rsidR="00C760C5" w:rsidRPr="00813069" w:rsidRDefault="00C760C5" w:rsidP="00746632">
            <w:pPr>
              <w:autoSpaceDE w:val="0"/>
              <w:autoSpaceDN w:val="0"/>
              <w:bidi w:val="0"/>
              <w:adjustRightInd w:val="0"/>
              <w:spacing w:after="0" w:line="240" w:lineRule="auto"/>
              <w:jc w:val="both"/>
              <w:rPr>
                <w:rFonts w:ascii="Traditional Arabic" w:eastAsiaTheme="minorHAnsi" w:hAnsi="Traditional Arabic" w:cs="Traditional Arabic"/>
                <w:sz w:val="26"/>
                <w:szCs w:val="26"/>
              </w:rPr>
            </w:pPr>
            <w:r w:rsidRPr="00813069">
              <w:rPr>
                <w:rFonts w:ascii="Traditional Arabic" w:eastAsiaTheme="minorHAnsi" w:hAnsi="Traditional Arabic" w:cs="Traditional Arabic"/>
                <w:sz w:val="26"/>
                <w:szCs w:val="26"/>
              </w:rPr>
              <w:t>To know the provisions on the marriage contract and to show its elements</w:t>
            </w:r>
            <w:r>
              <w:rPr>
                <w:rFonts w:ascii="Traditional Arabic" w:eastAsiaTheme="minorHAnsi" w:hAnsi="Traditional Arabic" w:cs="Traditional Arabic" w:hint="cs"/>
                <w:sz w:val="26"/>
                <w:szCs w:val="26"/>
                <w:rtl/>
                <w:lang w:val="fr-FR"/>
              </w:rPr>
              <w:t>,</w:t>
            </w:r>
            <w:r w:rsidRPr="00813069">
              <w:rPr>
                <w:rFonts w:ascii="Traditional Arabic" w:eastAsiaTheme="minorHAnsi" w:hAnsi="Traditional Arabic" w:cs="Traditional Arabic"/>
                <w:sz w:val="26"/>
                <w:szCs w:val="26"/>
              </w:rPr>
              <w:t xml:space="preserve"> conditions and impediments</w:t>
            </w:r>
          </w:p>
        </w:tc>
      </w:tr>
      <w:tr w:rsidR="00C760C5"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C760C5" w:rsidRDefault="00C760C5" w:rsidP="00746632">
            <w:pPr>
              <w:jc w:val="center"/>
              <w:rPr>
                <w:rFonts w:cs="Arabic Transparent"/>
                <w:sz w:val="28"/>
                <w:szCs w:val="28"/>
                <w:lang w:val="fr-FR" w:bidi="ar-JO"/>
              </w:rPr>
            </w:pPr>
            <w:r>
              <w:rPr>
                <w:rFonts w:cs="Arabic Transparent"/>
                <w:sz w:val="28"/>
                <w:szCs w:val="28"/>
                <w:rtl/>
                <w:lang w:val="fr-FR" w:bidi="ar-JO"/>
              </w:rPr>
              <w:t>3</w:t>
            </w:r>
          </w:p>
        </w:tc>
        <w:tc>
          <w:tcPr>
            <w:tcW w:w="3609" w:type="dxa"/>
            <w:tcBorders>
              <w:top w:val="single" w:sz="4" w:space="0" w:color="auto"/>
              <w:left w:val="single" w:sz="4" w:space="0" w:color="auto"/>
              <w:bottom w:val="single" w:sz="4" w:space="0" w:color="auto"/>
              <w:right w:val="single" w:sz="4" w:space="0" w:color="auto"/>
            </w:tcBorders>
            <w:hideMark/>
          </w:tcPr>
          <w:p w:rsidR="00C760C5" w:rsidRDefault="00C760C5" w:rsidP="00746632">
            <w:pPr>
              <w:jc w:val="both"/>
              <w:rPr>
                <w:rFonts w:ascii="Traditional Arabic" w:hAnsi="Traditional Arabic" w:cs="Traditional Arabic"/>
                <w:sz w:val="28"/>
                <w:szCs w:val="28"/>
                <w:lang w:val="fr-FR"/>
              </w:rPr>
            </w:pPr>
            <w:r>
              <w:rPr>
                <w:rFonts w:ascii="Traditional Arabic" w:eastAsiaTheme="minorHAnsi" w:hAnsi="Traditional Arabic" w:cs="Traditional Arabic"/>
                <w:sz w:val="26"/>
                <w:szCs w:val="26"/>
                <w:rtl/>
                <w:lang w:val="fr-FR"/>
              </w:rPr>
              <w:t>معرفة الحقوق الزوجية للطرفين</w:t>
            </w:r>
          </w:p>
        </w:tc>
        <w:tc>
          <w:tcPr>
            <w:tcW w:w="4205" w:type="dxa"/>
            <w:tcBorders>
              <w:top w:val="single" w:sz="4" w:space="0" w:color="auto"/>
              <w:left w:val="single" w:sz="4" w:space="0" w:color="auto"/>
              <w:bottom w:val="single" w:sz="4" w:space="0" w:color="auto"/>
              <w:right w:val="double" w:sz="4" w:space="0" w:color="auto"/>
            </w:tcBorders>
            <w:hideMark/>
          </w:tcPr>
          <w:p w:rsidR="00C760C5" w:rsidRDefault="00C760C5" w:rsidP="00746632">
            <w:pPr>
              <w:autoSpaceDE w:val="0"/>
              <w:autoSpaceDN w:val="0"/>
              <w:bidi w:val="0"/>
              <w:adjustRightInd w:val="0"/>
              <w:spacing w:after="0" w:line="240" w:lineRule="auto"/>
              <w:jc w:val="both"/>
              <w:rPr>
                <w:rFonts w:ascii="Traditional Arabic" w:eastAsiaTheme="minorHAnsi" w:hAnsi="Traditional Arabic" w:cs="Traditional Arabic"/>
                <w:sz w:val="26"/>
                <w:szCs w:val="26"/>
                <w:rtl/>
                <w:lang w:val="fr-FR"/>
              </w:rPr>
            </w:pPr>
            <w:r w:rsidRPr="00813069">
              <w:rPr>
                <w:rFonts w:ascii="Traditional Arabic" w:eastAsiaTheme="minorHAnsi" w:hAnsi="Traditional Arabic" w:cs="Traditional Arabic"/>
                <w:sz w:val="26"/>
                <w:szCs w:val="26"/>
              </w:rPr>
              <w:t>To know the conjugal rights of the</w:t>
            </w:r>
            <w:r>
              <w:rPr>
                <w:rFonts w:ascii="Traditional Arabic" w:eastAsiaTheme="minorHAnsi" w:hAnsi="Traditional Arabic" w:cs="Traditional Arabic"/>
                <w:sz w:val="26"/>
                <w:szCs w:val="26"/>
                <w:rtl/>
                <w:lang w:val="fr-FR"/>
              </w:rPr>
              <w:t xml:space="preserve"> </w:t>
            </w:r>
          </w:p>
          <w:p w:rsidR="00C760C5" w:rsidRDefault="00C760C5" w:rsidP="00746632">
            <w:pPr>
              <w:autoSpaceDE w:val="0"/>
              <w:autoSpaceDN w:val="0"/>
              <w:bidi w:val="0"/>
              <w:adjustRightInd w:val="0"/>
              <w:spacing w:after="0" w:line="240" w:lineRule="auto"/>
              <w:jc w:val="both"/>
              <w:rPr>
                <w:rFonts w:ascii="Traditional Arabic" w:eastAsiaTheme="minorHAnsi" w:hAnsi="Traditional Arabic" w:cs="Traditional Arabic"/>
                <w:b/>
                <w:bCs/>
                <w:lang w:val="fr-FR"/>
              </w:rPr>
            </w:pPr>
            <w:proofErr w:type="spellStart"/>
            <w:r>
              <w:rPr>
                <w:rFonts w:ascii="Traditional Arabic" w:eastAsiaTheme="minorHAnsi" w:hAnsi="Traditional Arabic" w:cs="Traditional Arabic"/>
                <w:sz w:val="26"/>
                <w:szCs w:val="26"/>
                <w:lang w:val="fr-FR"/>
              </w:rPr>
              <w:t>two</w:t>
            </w:r>
            <w:proofErr w:type="spellEnd"/>
            <w:r>
              <w:rPr>
                <w:rFonts w:ascii="Traditional Arabic" w:eastAsiaTheme="minorHAnsi" w:hAnsi="Traditional Arabic" w:cs="Traditional Arabic"/>
                <w:sz w:val="26"/>
                <w:szCs w:val="26"/>
                <w:lang w:val="fr-FR"/>
              </w:rPr>
              <w:t xml:space="preserve"> parties</w:t>
            </w:r>
          </w:p>
        </w:tc>
      </w:tr>
      <w:tr w:rsidR="00C760C5"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C760C5" w:rsidRDefault="00C760C5" w:rsidP="00746632">
            <w:pPr>
              <w:jc w:val="center"/>
              <w:rPr>
                <w:rFonts w:cs="Arabic Transparent"/>
                <w:sz w:val="28"/>
                <w:szCs w:val="28"/>
                <w:lang w:val="fr-FR" w:bidi="ar-JO"/>
              </w:rPr>
            </w:pPr>
            <w:r>
              <w:rPr>
                <w:rFonts w:cs="Arabic Transparent"/>
                <w:sz w:val="28"/>
                <w:szCs w:val="28"/>
                <w:rtl/>
                <w:lang w:val="fr-FR" w:bidi="ar-JO"/>
              </w:rPr>
              <w:t>4</w:t>
            </w:r>
          </w:p>
        </w:tc>
        <w:tc>
          <w:tcPr>
            <w:tcW w:w="3609" w:type="dxa"/>
            <w:tcBorders>
              <w:top w:val="single" w:sz="4" w:space="0" w:color="auto"/>
              <w:left w:val="single" w:sz="4" w:space="0" w:color="auto"/>
              <w:bottom w:val="double" w:sz="4" w:space="0" w:color="auto"/>
              <w:right w:val="single" w:sz="4" w:space="0" w:color="auto"/>
            </w:tcBorders>
          </w:tcPr>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6"/>
                <w:szCs w:val="26"/>
                <w:rtl/>
                <w:lang w:val="fr-FR"/>
              </w:rPr>
            </w:pPr>
            <w:r>
              <w:rPr>
                <w:rFonts w:ascii="Traditional Arabic" w:eastAsiaTheme="minorHAnsi" w:hAnsi="Traditional Arabic" w:cs="Traditional Arabic"/>
                <w:sz w:val="26"/>
                <w:szCs w:val="26"/>
                <w:rtl/>
                <w:lang w:val="fr-FR"/>
              </w:rPr>
              <w:t>معرفة كيفية انقضاء ذلك العقد بالطلاق</w:t>
            </w:r>
          </w:p>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6"/>
                <w:szCs w:val="26"/>
                <w:rtl/>
                <w:lang w:val="fr-FR"/>
              </w:rPr>
            </w:pPr>
            <w:r>
              <w:rPr>
                <w:rFonts w:ascii="Traditional Arabic" w:eastAsiaTheme="minorHAnsi" w:hAnsi="Traditional Arabic" w:cs="Traditional Arabic"/>
                <w:sz w:val="26"/>
                <w:szCs w:val="26"/>
                <w:rtl/>
                <w:lang w:val="fr-FR"/>
              </w:rPr>
              <w:t>من قبل الزوج والفسخ من قبل الحاكم</w:t>
            </w:r>
          </w:p>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6"/>
                <w:szCs w:val="26"/>
                <w:rtl/>
                <w:lang w:val="fr-FR"/>
              </w:rPr>
            </w:pPr>
            <w:r>
              <w:rPr>
                <w:rFonts w:ascii="Traditional Arabic" w:eastAsiaTheme="minorHAnsi" w:hAnsi="Traditional Arabic" w:cs="Traditional Arabic"/>
                <w:sz w:val="26"/>
                <w:szCs w:val="26"/>
                <w:rtl/>
                <w:lang w:val="fr-FR"/>
              </w:rPr>
              <w:t>الشرعي.</w:t>
            </w:r>
          </w:p>
          <w:p w:rsidR="00C760C5" w:rsidRDefault="00C760C5" w:rsidP="00746632">
            <w:pPr>
              <w:jc w:val="both"/>
              <w:rPr>
                <w:rFonts w:ascii="Traditional Arabic" w:hAnsi="Traditional Arabic" w:cs="Traditional Arabic"/>
                <w:sz w:val="28"/>
                <w:szCs w:val="28"/>
                <w:lang w:val="fr-FR"/>
              </w:rPr>
            </w:pPr>
          </w:p>
        </w:tc>
        <w:tc>
          <w:tcPr>
            <w:tcW w:w="4205" w:type="dxa"/>
            <w:tcBorders>
              <w:top w:val="single" w:sz="4" w:space="0" w:color="auto"/>
              <w:left w:val="single" w:sz="4" w:space="0" w:color="auto"/>
              <w:bottom w:val="double" w:sz="4" w:space="0" w:color="auto"/>
              <w:right w:val="double" w:sz="4" w:space="0" w:color="auto"/>
            </w:tcBorders>
            <w:hideMark/>
          </w:tcPr>
          <w:p w:rsidR="00C760C5" w:rsidRPr="00813069" w:rsidRDefault="00C760C5" w:rsidP="00746632">
            <w:pPr>
              <w:autoSpaceDE w:val="0"/>
              <w:autoSpaceDN w:val="0"/>
              <w:bidi w:val="0"/>
              <w:adjustRightInd w:val="0"/>
              <w:spacing w:after="0" w:line="240" w:lineRule="auto"/>
              <w:jc w:val="both"/>
              <w:rPr>
                <w:rFonts w:ascii="Traditional Arabic" w:eastAsiaTheme="minorHAnsi" w:hAnsi="Traditional Arabic" w:cs="Traditional Arabic"/>
                <w:sz w:val="26"/>
                <w:szCs w:val="26"/>
              </w:rPr>
            </w:pPr>
            <w:r w:rsidRPr="00813069">
              <w:rPr>
                <w:rFonts w:ascii="Traditional Arabic" w:eastAsiaTheme="minorHAnsi" w:hAnsi="Traditional Arabic" w:cs="Traditional Arabic"/>
                <w:sz w:val="26"/>
                <w:szCs w:val="26"/>
              </w:rPr>
              <w:t>To know how to terminate this contract through divorce by the husband and the recession by the religious judge</w:t>
            </w:r>
            <w:r>
              <w:rPr>
                <w:rFonts w:ascii="Traditional Arabic" w:eastAsiaTheme="minorHAnsi" w:hAnsi="Traditional Arabic" w:cs="Traditional Arabic" w:hint="cs"/>
                <w:sz w:val="26"/>
                <w:szCs w:val="26"/>
                <w:rtl/>
                <w:lang w:val="fr-FR"/>
              </w:rPr>
              <w:t>.</w:t>
            </w:r>
          </w:p>
        </w:tc>
      </w:tr>
    </w:tbl>
    <w:p w:rsidR="00C760C5" w:rsidRDefault="00C760C5" w:rsidP="00C760C5">
      <w:pPr>
        <w:rPr>
          <w:rFonts w:cs="Arabic Transparent"/>
          <w:b/>
          <w:bCs/>
          <w:sz w:val="28"/>
          <w:szCs w:val="28"/>
          <w:u w:val="single"/>
          <w:rtl/>
        </w:rPr>
      </w:pPr>
    </w:p>
    <w:p w:rsidR="00C760C5" w:rsidRDefault="00C760C5" w:rsidP="00C760C5">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C760C5" w:rsidRDefault="00C760C5" w:rsidP="00C760C5">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2"/>
        <w:gridCol w:w="3855"/>
        <w:gridCol w:w="4113"/>
      </w:tblGrid>
      <w:tr w:rsidR="00C760C5"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C760C5" w:rsidRDefault="00C760C5"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single" w:sz="4" w:space="0" w:color="auto"/>
              <w:right w:val="single" w:sz="4" w:space="0" w:color="auto"/>
            </w:tcBorders>
            <w:hideMark/>
          </w:tcPr>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القدرة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الإلمام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بالأحكام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الشرعية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p>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مجال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الأحوال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الشخصية</w:t>
            </w:r>
            <w:r>
              <w:rPr>
                <w:rFonts w:ascii="Traditional Arabic" w:eastAsiaTheme="minorHAnsi" w:hAnsi="Traditional Arabic" w:cs="Traditional Arabic"/>
                <w:sz w:val="28"/>
                <w:szCs w:val="28"/>
                <w:lang w:val="fr-FR"/>
              </w:rPr>
              <w:t>.</w:t>
            </w:r>
          </w:p>
          <w:p w:rsidR="00C760C5" w:rsidRDefault="00C760C5"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lang w:val="fr-FR"/>
              </w:rPr>
              <w:t>.</w:t>
            </w:r>
          </w:p>
        </w:tc>
        <w:tc>
          <w:tcPr>
            <w:tcW w:w="4420" w:type="dxa"/>
            <w:tcBorders>
              <w:top w:val="double" w:sz="4" w:space="0" w:color="auto"/>
              <w:left w:val="single" w:sz="4" w:space="0" w:color="auto"/>
              <w:bottom w:val="single" w:sz="4" w:space="0" w:color="auto"/>
              <w:right w:val="double" w:sz="4" w:space="0" w:color="auto"/>
            </w:tcBorders>
          </w:tcPr>
          <w:p w:rsidR="00C760C5" w:rsidRDefault="00C760C5" w:rsidP="00746632">
            <w:pPr>
              <w:autoSpaceDE w:val="0"/>
              <w:autoSpaceDN w:val="0"/>
              <w:bidi w:val="0"/>
              <w:adjustRightInd w:val="0"/>
              <w:spacing w:after="0" w:line="240" w:lineRule="auto"/>
              <w:rPr>
                <w:rFonts w:ascii="Traditional Arabic" w:eastAsiaTheme="minorHAnsi" w:hAnsi="Traditional Arabic" w:cs="Traditional Arabic"/>
                <w:sz w:val="28"/>
                <w:szCs w:val="28"/>
                <w:rtl/>
                <w:lang w:val="fr-FR"/>
              </w:rPr>
            </w:pPr>
            <w:r w:rsidRPr="00813069">
              <w:rPr>
                <w:rFonts w:ascii="Traditional Arabic" w:eastAsiaTheme="minorHAnsi" w:hAnsi="Traditional Arabic" w:cs="Traditional Arabic"/>
                <w:sz w:val="28"/>
                <w:szCs w:val="28"/>
              </w:rPr>
              <w:t>Know the religious provisions in the</w:t>
            </w:r>
          </w:p>
          <w:p w:rsidR="00C760C5" w:rsidRDefault="00C760C5" w:rsidP="00746632">
            <w:pPr>
              <w:autoSpaceDE w:val="0"/>
              <w:autoSpaceDN w:val="0"/>
              <w:bidi w:val="0"/>
              <w:adjustRightInd w:val="0"/>
              <w:spacing w:after="0" w:line="240" w:lineRule="auto"/>
              <w:rPr>
                <w:rFonts w:ascii="Traditional Arabic" w:eastAsiaTheme="minorHAnsi" w:hAnsi="Traditional Arabic" w:cs="Traditional Arabic"/>
                <w:sz w:val="28"/>
                <w:szCs w:val="28"/>
                <w:lang w:val="fr-FR"/>
              </w:rPr>
            </w:pPr>
            <w:proofErr w:type="spellStart"/>
            <w:r>
              <w:rPr>
                <w:rFonts w:ascii="Traditional Arabic" w:eastAsiaTheme="minorHAnsi" w:hAnsi="Traditional Arabic" w:cs="Traditional Arabic"/>
                <w:sz w:val="28"/>
                <w:szCs w:val="28"/>
                <w:lang w:val="fr-FR"/>
              </w:rPr>
              <w:t>field</w:t>
            </w:r>
            <w:proofErr w:type="spellEnd"/>
            <w:r>
              <w:rPr>
                <w:rFonts w:ascii="Traditional Arabic" w:eastAsiaTheme="minorHAnsi" w:hAnsi="Traditional Arabic" w:cs="Traditional Arabic"/>
                <w:sz w:val="28"/>
                <w:szCs w:val="28"/>
                <w:lang w:val="fr-FR"/>
              </w:rPr>
              <w:t xml:space="preserve"> of </w:t>
            </w:r>
            <w:proofErr w:type="spellStart"/>
            <w:r>
              <w:rPr>
                <w:rFonts w:ascii="Traditional Arabic" w:eastAsiaTheme="minorHAnsi" w:hAnsi="Traditional Arabic" w:cs="Traditional Arabic"/>
                <w:sz w:val="28"/>
                <w:szCs w:val="28"/>
                <w:lang w:val="fr-FR"/>
              </w:rPr>
              <w:t>personal</w:t>
            </w:r>
            <w:proofErr w:type="spellEnd"/>
            <w:r>
              <w:rPr>
                <w:rFonts w:ascii="Traditional Arabic" w:eastAsiaTheme="minorHAnsi" w:hAnsi="Traditional Arabic" w:cs="Traditional Arabic"/>
                <w:sz w:val="28"/>
                <w:szCs w:val="28"/>
                <w:lang w:val="fr-FR"/>
              </w:rPr>
              <w:t xml:space="preserve"> </w:t>
            </w:r>
            <w:proofErr w:type="spellStart"/>
            <w:r>
              <w:rPr>
                <w:rFonts w:ascii="Traditional Arabic" w:eastAsiaTheme="minorHAnsi" w:hAnsi="Traditional Arabic" w:cs="Traditional Arabic"/>
                <w:sz w:val="28"/>
                <w:szCs w:val="28"/>
                <w:lang w:val="fr-FR"/>
              </w:rPr>
              <w:t>status</w:t>
            </w:r>
            <w:proofErr w:type="spellEnd"/>
            <w:r>
              <w:rPr>
                <w:rFonts w:ascii="Traditional Arabic" w:eastAsiaTheme="minorHAnsi" w:hAnsi="Traditional Arabic" w:cs="Traditional Arabic"/>
                <w:sz w:val="28"/>
                <w:szCs w:val="28"/>
                <w:lang w:val="fr-FR"/>
              </w:rPr>
              <w:t>.</w:t>
            </w:r>
          </w:p>
          <w:p w:rsidR="00C760C5" w:rsidRDefault="00C760C5"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lang w:val="fr-FR"/>
              </w:rPr>
            </w:pPr>
          </w:p>
        </w:tc>
      </w:tr>
      <w:tr w:rsidR="00C760C5"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C760C5" w:rsidRDefault="00C760C5" w:rsidP="00746632">
            <w:pPr>
              <w:jc w:val="center"/>
              <w:rPr>
                <w:rFonts w:cs="Arabic Transparent"/>
                <w:sz w:val="28"/>
                <w:szCs w:val="28"/>
                <w:lang w:val="fr-FR" w:bidi="ar-JO"/>
              </w:rPr>
            </w:pPr>
            <w:r>
              <w:rPr>
                <w:rFonts w:cs="Arabic Transparent"/>
                <w:sz w:val="28"/>
                <w:szCs w:val="28"/>
                <w:rtl/>
                <w:lang w:val="fr-FR" w:bidi="ar-JO"/>
              </w:rPr>
              <w:t>2</w:t>
            </w:r>
          </w:p>
        </w:tc>
        <w:tc>
          <w:tcPr>
            <w:tcW w:w="4193" w:type="dxa"/>
            <w:tcBorders>
              <w:top w:val="single" w:sz="4" w:space="0" w:color="auto"/>
              <w:left w:val="single" w:sz="4" w:space="0" w:color="auto"/>
              <w:bottom w:val="single" w:sz="4" w:space="0" w:color="auto"/>
              <w:right w:val="single" w:sz="4" w:space="0" w:color="auto"/>
            </w:tcBorders>
          </w:tcPr>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القدرة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فهم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العلاقات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الزوجية</w:t>
            </w:r>
          </w:p>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وأحكامها</w:t>
            </w:r>
            <w:r>
              <w:rPr>
                <w:rFonts w:ascii="Traditional Arabic" w:eastAsiaTheme="minorHAnsi" w:hAnsi="Traditional Arabic" w:cs="Traditional Arabic"/>
                <w:sz w:val="28"/>
                <w:szCs w:val="28"/>
                <w:lang w:val="fr-FR"/>
              </w:rPr>
              <w:t>.</w:t>
            </w:r>
          </w:p>
          <w:p w:rsidR="00C760C5" w:rsidRDefault="00C760C5"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420" w:type="dxa"/>
            <w:tcBorders>
              <w:top w:val="single" w:sz="4" w:space="0" w:color="auto"/>
              <w:left w:val="single" w:sz="4" w:space="0" w:color="auto"/>
              <w:bottom w:val="single" w:sz="4" w:space="0" w:color="auto"/>
              <w:right w:val="double" w:sz="4" w:space="0" w:color="auto"/>
            </w:tcBorders>
          </w:tcPr>
          <w:p w:rsidR="00C760C5" w:rsidRDefault="00C760C5" w:rsidP="00746632">
            <w:pPr>
              <w:autoSpaceDE w:val="0"/>
              <w:autoSpaceDN w:val="0"/>
              <w:bidi w:val="0"/>
              <w:adjustRightInd w:val="0"/>
              <w:spacing w:after="0" w:line="240" w:lineRule="auto"/>
              <w:rPr>
                <w:rFonts w:ascii="Traditional Arabic" w:eastAsiaTheme="minorHAnsi" w:hAnsi="Traditional Arabic" w:cs="Traditional Arabic"/>
                <w:sz w:val="28"/>
                <w:szCs w:val="28"/>
                <w:rtl/>
                <w:lang w:val="fr-FR"/>
              </w:rPr>
            </w:pPr>
            <w:r w:rsidRPr="00813069">
              <w:rPr>
                <w:rFonts w:ascii="Traditional Arabic" w:eastAsiaTheme="minorHAnsi" w:hAnsi="Traditional Arabic" w:cs="Traditional Arabic"/>
                <w:sz w:val="28"/>
                <w:szCs w:val="28"/>
              </w:rPr>
              <w:t>Understand the conjugal relations</w:t>
            </w:r>
          </w:p>
          <w:p w:rsidR="00C760C5" w:rsidRPr="00813069" w:rsidRDefault="00C760C5" w:rsidP="00746632">
            <w:pPr>
              <w:autoSpaceDE w:val="0"/>
              <w:autoSpaceDN w:val="0"/>
              <w:bidi w:val="0"/>
              <w:adjustRightInd w:val="0"/>
              <w:spacing w:after="0" w:line="240" w:lineRule="auto"/>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and their provisions</w:t>
            </w:r>
          </w:p>
          <w:p w:rsidR="00C760C5" w:rsidRPr="00813069" w:rsidRDefault="00C760C5" w:rsidP="00746632">
            <w:pPr>
              <w:autoSpaceDE w:val="0"/>
              <w:autoSpaceDN w:val="0"/>
              <w:bidi w:val="0"/>
              <w:adjustRightInd w:val="0"/>
              <w:spacing w:after="0" w:line="240" w:lineRule="auto"/>
              <w:jc w:val="both"/>
              <w:rPr>
                <w:rFonts w:ascii="Traditional Arabic" w:hAnsi="Traditional Arabic" w:cs="Traditional Arabic"/>
                <w:sz w:val="28"/>
                <w:szCs w:val="28"/>
              </w:rPr>
            </w:pPr>
          </w:p>
        </w:tc>
      </w:tr>
      <w:tr w:rsidR="00C760C5"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C760C5" w:rsidRDefault="00C760C5" w:rsidP="00746632">
            <w:pPr>
              <w:jc w:val="center"/>
              <w:rPr>
                <w:rFonts w:cs="Arabic Transparent"/>
                <w:sz w:val="28"/>
                <w:szCs w:val="28"/>
                <w:lang w:val="fr-FR" w:bidi="ar-JO"/>
              </w:rPr>
            </w:pPr>
            <w:r>
              <w:rPr>
                <w:rFonts w:cs="Arabic Transparent"/>
                <w:sz w:val="28"/>
                <w:szCs w:val="28"/>
                <w:rtl/>
                <w:lang w:val="fr-FR" w:bidi="ar-JO"/>
              </w:rPr>
              <w:lastRenderedPageBreak/>
              <w:t>3</w:t>
            </w:r>
          </w:p>
        </w:tc>
        <w:tc>
          <w:tcPr>
            <w:tcW w:w="4193" w:type="dxa"/>
            <w:tcBorders>
              <w:top w:val="single" w:sz="4" w:space="0" w:color="auto"/>
              <w:left w:val="single" w:sz="4" w:space="0" w:color="auto"/>
              <w:bottom w:val="double" w:sz="4" w:space="0" w:color="auto"/>
              <w:right w:val="single" w:sz="4" w:space="0" w:color="auto"/>
            </w:tcBorders>
          </w:tcPr>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القدرة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إبداء</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الرأي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القانوني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p>
          <w:p w:rsidR="00C760C5" w:rsidRDefault="00C760C5" w:rsidP="00746632">
            <w:pPr>
              <w:autoSpaceDE w:val="0"/>
              <w:autoSpaceDN w:val="0"/>
              <w:adjustRightInd w:val="0"/>
              <w:spacing w:after="0" w:line="240" w:lineRule="auto"/>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مجال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الأحوال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الشخصية</w:t>
            </w:r>
            <w:r>
              <w:rPr>
                <w:rFonts w:ascii="Traditional Arabic" w:eastAsiaTheme="minorHAnsi" w:hAnsi="Traditional Arabic" w:cs="Traditional Arabic"/>
                <w:sz w:val="28"/>
                <w:szCs w:val="28"/>
                <w:lang w:val="fr-FR"/>
              </w:rPr>
              <w:t>.</w:t>
            </w:r>
          </w:p>
          <w:p w:rsidR="00C760C5" w:rsidRDefault="00C760C5" w:rsidP="00746632">
            <w:pPr>
              <w:jc w:val="both"/>
              <w:rPr>
                <w:rFonts w:ascii="Traditional Arabic" w:hAnsi="Traditional Arabic" w:cs="Traditional Arabic"/>
                <w:sz w:val="28"/>
                <w:szCs w:val="28"/>
                <w:lang w:val="fr-FR"/>
              </w:rPr>
            </w:pPr>
          </w:p>
        </w:tc>
        <w:tc>
          <w:tcPr>
            <w:tcW w:w="4420" w:type="dxa"/>
            <w:tcBorders>
              <w:top w:val="single" w:sz="4" w:space="0" w:color="auto"/>
              <w:left w:val="single" w:sz="4" w:space="0" w:color="auto"/>
              <w:bottom w:val="double" w:sz="4" w:space="0" w:color="auto"/>
              <w:right w:val="double" w:sz="4" w:space="0" w:color="auto"/>
            </w:tcBorders>
            <w:hideMark/>
          </w:tcPr>
          <w:p w:rsidR="00C760C5" w:rsidRPr="00813069" w:rsidRDefault="00C760C5" w:rsidP="00746632">
            <w:pPr>
              <w:autoSpaceDE w:val="0"/>
              <w:autoSpaceDN w:val="0"/>
              <w:bidi w:val="0"/>
              <w:adjustRightInd w:val="0"/>
              <w:spacing w:after="0" w:line="240" w:lineRule="auto"/>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Give the legal opinion in the field of</w:t>
            </w:r>
            <w:r>
              <w:rPr>
                <w:rFonts w:ascii="Traditional Arabic" w:eastAsiaTheme="minorHAnsi" w:hAnsi="Traditional Arabic" w:cs="Traditional Arabic"/>
                <w:sz w:val="28"/>
                <w:szCs w:val="28"/>
              </w:rPr>
              <w:t xml:space="preserve"> </w:t>
            </w:r>
            <w:r w:rsidRPr="00813069">
              <w:rPr>
                <w:rFonts w:ascii="Traditional Arabic" w:eastAsiaTheme="minorHAnsi" w:hAnsi="Traditional Arabic" w:cs="Traditional Arabic"/>
                <w:sz w:val="28"/>
                <w:szCs w:val="28"/>
              </w:rPr>
              <w:t>personal status</w:t>
            </w:r>
          </w:p>
        </w:tc>
      </w:tr>
    </w:tbl>
    <w:p w:rsidR="00C760C5" w:rsidRDefault="00C760C5" w:rsidP="00C760C5">
      <w:pPr>
        <w:rPr>
          <w:rFonts w:cs="Arabic Transparent"/>
          <w:b/>
          <w:bCs/>
          <w:sz w:val="28"/>
          <w:szCs w:val="28"/>
          <w:u w:val="single"/>
          <w:rtl/>
        </w:rPr>
      </w:pPr>
    </w:p>
    <w:p w:rsidR="00C760C5" w:rsidRDefault="00C760C5" w:rsidP="00C760C5">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C760C5" w:rsidRDefault="00C760C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C760C5" w:rsidRDefault="00C760C5"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C760C5" w:rsidRDefault="00C760C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bidi="ar-EG"/>
              </w:rPr>
              <w:t>التعريف بالزواج وبيان أهدافه وحكمه</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أحكام الخطبة</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أركان العقد وشروطه وموانعه</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أحكام الولاية في الزواج</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الشروط المقترنة بالعقد وآثارها عليه</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الحقوق الزوجية لكل من طرفيه</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C760C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الحضانة وأحكامها</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C760C5"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الطلاق والفسخ</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C760C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والتفريق بالخلع وبالإيلاء واللعان والظهار.</w:t>
            </w:r>
          </w:p>
        </w:tc>
        <w:tc>
          <w:tcPr>
            <w:tcW w:w="1259"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C760C5" w:rsidRDefault="00C760C5" w:rsidP="00746632">
            <w:pPr>
              <w:spacing w:line="216"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EG"/>
              </w:rPr>
              <w:t>3</w:t>
            </w:r>
          </w:p>
        </w:tc>
      </w:tr>
    </w:tbl>
    <w:p w:rsidR="00C760C5" w:rsidRDefault="00C760C5" w:rsidP="00C760C5">
      <w:pPr>
        <w:rPr>
          <w:rFonts w:cs="Arabic Transparent"/>
          <w:b/>
          <w:bCs/>
          <w:sz w:val="28"/>
          <w:szCs w:val="28"/>
          <w:u w:val="single"/>
          <w:rtl/>
          <w:lang w:bidi="ar-JO"/>
        </w:rPr>
      </w:pPr>
    </w:p>
    <w:p w:rsidR="00C760C5" w:rsidRDefault="00C760C5" w:rsidP="00C760C5">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C760C5" w:rsidRDefault="00C760C5"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C760C5" w:rsidRDefault="00C760C5" w:rsidP="00746632">
            <w:pPr>
              <w:pStyle w:val="NoSpacing"/>
              <w:rPr>
                <w:rFonts w:eastAsiaTheme="minorHAnsi"/>
                <w:rtl/>
                <w:lang w:val="fr-FR"/>
              </w:rPr>
            </w:pPr>
            <w:r>
              <w:rPr>
                <w:rFonts w:eastAsiaTheme="minorHAnsi"/>
                <w:rtl/>
                <w:lang w:val="fr-FR"/>
              </w:rPr>
              <w:t xml:space="preserve">فقه الأسرة </w:t>
            </w:r>
          </w:p>
          <w:p w:rsidR="00C760C5" w:rsidRDefault="00C760C5" w:rsidP="00746632">
            <w:pPr>
              <w:pStyle w:val="NoSpacing"/>
              <w:rPr>
                <w:rFonts w:eastAsiaTheme="minorHAnsi"/>
                <w:lang w:val="fr-FR"/>
              </w:rPr>
            </w:pPr>
          </w:p>
        </w:tc>
      </w:tr>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C760C5" w:rsidRDefault="00C760C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C760C5" w:rsidRDefault="00C760C5" w:rsidP="00746632">
            <w:pPr>
              <w:pStyle w:val="NoSpacing"/>
              <w:rPr>
                <w:rFonts w:eastAsiaTheme="minorHAnsi"/>
                <w:lang w:val="fr-FR"/>
              </w:rPr>
            </w:pPr>
            <w:r>
              <w:rPr>
                <w:rFonts w:eastAsiaTheme="minorHAnsi"/>
                <w:rtl/>
                <w:lang w:val="fr-FR"/>
              </w:rPr>
              <w:t>الشيخ محمد أبو زهرة</w:t>
            </w:r>
          </w:p>
        </w:tc>
      </w:tr>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الناشر</w:t>
            </w:r>
          </w:p>
          <w:p w:rsidR="00C760C5" w:rsidRDefault="00C760C5"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C760C5" w:rsidRDefault="00C760C5" w:rsidP="00746632">
            <w:pPr>
              <w:pStyle w:val="NoSpacing"/>
              <w:rPr>
                <w:lang w:val="fr-FR"/>
              </w:rPr>
            </w:pPr>
            <w:r>
              <w:rPr>
                <w:rFonts w:eastAsiaTheme="minorHAnsi"/>
                <w:rtl/>
                <w:lang w:val="fr-FR"/>
              </w:rPr>
              <w:t xml:space="preserve">دار النهضة العربية </w:t>
            </w:r>
          </w:p>
        </w:tc>
      </w:tr>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C760C5" w:rsidRDefault="00C760C5"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C760C5" w:rsidRDefault="00C760C5" w:rsidP="00746632">
            <w:pPr>
              <w:rPr>
                <w:lang w:val="fr-FR" w:bidi="ar-JO"/>
              </w:rPr>
            </w:pPr>
            <w:r>
              <w:rPr>
                <w:rFonts w:eastAsiaTheme="minorHAnsi"/>
                <w:rtl/>
                <w:lang w:val="fr-FR"/>
              </w:rPr>
              <w:t>١٩٤٨ م</w:t>
            </w:r>
          </w:p>
        </w:tc>
      </w:tr>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C760C5" w:rsidRDefault="00C760C5"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C760C5" w:rsidRDefault="00C760C5" w:rsidP="00746632">
            <w:pPr>
              <w:rPr>
                <w:rFonts w:cs="Arabic Transparent"/>
                <w:sz w:val="24"/>
                <w:szCs w:val="24"/>
                <w:rtl/>
                <w:lang w:val="fr-FR" w:bidi="ar-JO"/>
              </w:rPr>
            </w:pPr>
            <w:r>
              <w:rPr>
                <w:rFonts w:cs="Arabic Transparent"/>
                <w:sz w:val="24"/>
                <w:szCs w:val="24"/>
                <w:rtl/>
                <w:lang w:val="fr-FR" w:bidi="ar-JO"/>
              </w:rPr>
              <w:t>الأحوال الشخصية في</w:t>
            </w:r>
          </w:p>
          <w:p w:rsidR="00C760C5" w:rsidRDefault="00C760C5" w:rsidP="00746632">
            <w:pPr>
              <w:rPr>
                <w:rFonts w:cs="Arabic Transparent"/>
                <w:sz w:val="24"/>
                <w:szCs w:val="24"/>
                <w:rtl/>
                <w:lang w:val="fr-FR" w:bidi="ar-JO"/>
              </w:rPr>
            </w:pPr>
            <w:r>
              <w:rPr>
                <w:rFonts w:cs="Arabic Transparent"/>
                <w:sz w:val="24"/>
                <w:szCs w:val="24"/>
                <w:rtl/>
                <w:lang w:val="fr-FR" w:bidi="ar-JO"/>
              </w:rPr>
              <w:t xml:space="preserve">التشريع الإسلامي </w:t>
            </w:r>
          </w:p>
          <w:p w:rsidR="00C760C5" w:rsidRDefault="00C760C5" w:rsidP="00746632">
            <w:pPr>
              <w:rPr>
                <w:rFonts w:cs="Arabic Transparent"/>
                <w:sz w:val="24"/>
                <w:szCs w:val="24"/>
                <w:lang w:val="fr-FR" w:bidi="ar-JO"/>
              </w:rPr>
            </w:pPr>
          </w:p>
        </w:tc>
      </w:tr>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C760C5" w:rsidRDefault="00C760C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C760C5" w:rsidRDefault="00C760C5" w:rsidP="00746632">
            <w:pPr>
              <w:rPr>
                <w:rFonts w:cs="Arabic Transparent"/>
                <w:sz w:val="24"/>
                <w:szCs w:val="24"/>
                <w:lang w:val="fr-FR" w:bidi="ar-JO"/>
              </w:rPr>
            </w:pPr>
            <w:r>
              <w:rPr>
                <w:rFonts w:cs="Arabic Transparent"/>
                <w:sz w:val="24"/>
                <w:szCs w:val="24"/>
                <w:rtl/>
                <w:lang w:val="fr-FR" w:bidi="ar-JO"/>
              </w:rPr>
              <w:t>د. أحمد الغندور</w:t>
            </w:r>
          </w:p>
        </w:tc>
      </w:tr>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rPr>
            </w:pPr>
            <w:r>
              <w:rPr>
                <w:rFonts w:cs="Arabic Transparent"/>
                <w:b/>
                <w:bCs/>
                <w:sz w:val="24"/>
                <w:szCs w:val="24"/>
                <w:rtl/>
                <w:lang w:val="fr-FR" w:bidi="ar-JO"/>
              </w:rPr>
              <w:t>اسم الناشر</w:t>
            </w:r>
          </w:p>
          <w:p w:rsidR="00C760C5" w:rsidRDefault="00C760C5"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C760C5" w:rsidRDefault="00C760C5" w:rsidP="00746632">
            <w:pPr>
              <w:rPr>
                <w:rFonts w:cs="Arabic Transparent"/>
                <w:sz w:val="24"/>
                <w:szCs w:val="24"/>
                <w:rtl/>
                <w:lang w:val="fr-FR" w:bidi="ar-JO"/>
              </w:rPr>
            </w:pPr>
            <w:r>
              <w:rPr>
                <w:rFonts w:cs="Arabic Transparent"/>
                <w:sz w:val="24"/>
                <w:szCs w:val="24"/>
                <w:rtl/>
                <w:lang w:val="fr-FR" w:bidi="ar-JO"/>
              </w:rPr>
              <w:t>مكتبة الفلاح –</w:t>
            </w:r>
          </w:p>
          <w:p w:rsidR="00C760C5" w:rsidRDefault="00C760C5" w:rsidP="00746632">
            <w:pPr>
              <w:rPr>
                <w:rFonts w:cs="Arabic Transparent"/>
                <w:sz w:val="24"/>
                <w:szCs w:val="24"/>
                <w:lang w:val="fr-FR" w:bidi="ar-JO"/>
              </w:rPr>
            </w:pPr>
            <w:r>
              <w:rPr>
                <w:rFonts w:cs="Arabic Transparent"/>
                <w:sz w:val="24"/>
                <w:szCs w:val="24"/>
                <w:rtl/>
                <w:lang w:val="fr-FR" w:bidi="ar-JO"/>
              </w:rPr>
              <w:t xml:space="preserve">الكويت </w:t>
            </w:r>
          </w:p>
        </w:tc>
      </w:tr>
      <w:tr w:rsidR="00C760C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C760C5" w:rsidRDefault="00C760C5" w:rsidP="00746632">
            <w:pPr>
              <w:jc w:val="center"/>
              <w:rPr>
                <w:rFonts w:cs="Arabic Transparent"/>
                <w:b/>
                <w:bCs/>
                <w:sz w:val="24"/>
                <w:szCs w:val="24"/>
                <w:rtl/>
                <w:lang w:val="fr-FR"/>
              </w:rPr>
            </w:pPr>
            <w:r>
              <w:rPr>
                <w:rFonts w:cs="Arabic Transparent"/>
                <w:b/>
                <w:bCs/>
                <w:sz w:val="24"/>
                <w:szCs w:val="24"/>
                <w:rtl/>
                <w:lang w:val="fr-FR" w:bidi="ar-JO"/>
              </w:rPr>
              <w:t>سنة النشر</w:t>
            </w:r>
          </w:p>
          <w:p w:rsidR="00C760C5" w:rsidRDefault="00C760C5"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C760C5" w:rsidRDefault="00C760C5" w:rsidP="00746632">
            <w:pPr>
              <w:rPr>
                <w:rFonts w:cs="Arabic Transparent"/>
                <w:sz w:val="24"/>
                <w:szCs w:val="24"/>
                <w:lang w:val="fr-FR" w:bidi="ar-JO"/>
              </w:rPr>
            </w:pPr>
            <w:r>
              <w:rPr>
                <w:rFonts w:cs="Arabic Transparent"/>
                <w:sz w:val="24"/>
                <w:szCs w:val="24"/>
                <w:rtl/>
                <w:lang w:val="fr-FR" w:bidi="ar-JO"/>
              </w:rPr>
              <w:t>١٩٨٢ م</w:t>
            </w:r>
          </w:p>
        </w:tc>
      </w:tr>
    </w:tbl>
    <w:p w:rsidR="00C760C5" w:rsidRDefault="00C760C5" w:rsidP="00C760C5">
      <w:pPr>
        <w:rPr>
          <w:rtl/>
        </w:rPr>
      </w:pPr>
    </w:p>
    <w:p w:rsidR="00C760C5" w:rsidRDefault="00C760C5" w:rsidP="00C760C5">
      <w:pPr>
        <w:rPr>
          <w:rtl/>
        </w:rPr>
      </w:pPr>
      <w:r>
        <w:rPr>
          <w:rtl/>
        </w:rPr>
        <w:t>ملاحظة: يمكن اضافة مراجع اخرى بحيث لا تتجاوز 3 مراجع على الاكثر.</w:t>
      </w:r>
    </w:p>
    <w:p w:rsidR="002562D3" w:rsidRPr="00C760C5" w:rsidRDefault="002562D3" w:rsidP="00C760C5">
      <w:pPr>
        <w:rPr>
          <w:rtl/>
        </w:rPr>
      </w:pPr>
      <w:bookmarkStart w:id="0" w:name="_GoBack"/>
      <w:bookmarkEnd w:id="0"/>
    </w:p>
    <w:sectPr w:rsidR="002562D3" w:rsidRPr="00C760C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5">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25BF2"/>
    <w:rsid w:val="00886965"/>
    <w:rsid w:val="008940CB"/>
    <w:rsid w:val="008C325E"/>
    <w:rsid w:val="008E3881"/>
    <w:rsid w:val="00946396"/>
    <w:rsid w:val="0097375D"/>
    <w:rsid w:val="00994357"/>
    <w:rsid w:val="00A166D1"/>
    <w:rsid w:val="00AF13B2"/>
    <w:rsid w:val="00AF525D"/>
    <w:rsid w:val="00B51B27"/>
    <w:rsid w:val="00C760C5"/>
    <w:rsid w:val="00D80A19"/>
    <w:rsid w:val="00E17732"/>
    <w:rsid w:val="00F100D4"/>
    <w:rsid w:val="00F55A8D"/>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2014-10-29T07:50:00Z</cp:lastPrinted>
  <dcterms:created xsi:type="dcterms:W3CDTF">2014-10-29T07:50:00Z</dcterms:created>
  <dcterms:modified xsi:type="dcterms:W3CDTF">2014-10-29T07:50:00Z</dcterms:modified>
</cp:coreProperties>
</file>