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29ED8ECB" w:rsidR="00BB0DC2" w:rsidRPr="00F405B9" w:rsidRDefault="00356634" w:rsidP="00876BB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A24B36">
              <w:rPr>
                <w:rFonts w:asciiTheme="minorBidi" w:hAnsiTheme="minorBidi" w:hint="cs"/>
                <w:color w:val="002060"/>
                <w:sz w:val="28"/>
                <w:szCs w:val="28"/>
                <w:rtl/>
              </w:rPr>
              <w:t>مهارة الاستماع  والتحدث</w:t>
            </w:r>
          </w:p>
        </w:tc>
      </w:tr>
      <w:tr w:rsidR="0027521F" w:rsidRPr="005D2DDD" w14:paraId="28DDC292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25CC4773" w14:textId="4B7354F6" w:rsidR="0027521F" w:rsidRPr="005D2DDD" w:rsidRDefault="00F405B9" w:rsidP="00356634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00100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 xml:space="preserve">ARAB </w:t>
            </w:r>
            <w:r w:rsidR="00356634">
              <w:rPr>
                <w:rFonts w:ascii="Simplified Arabic" w:hAnsi="Simplified Arabic" w:cs="Simplified Arabic"/>
                <w:color w:val="002060"/>
                <w:sz w:val="28"/>
                <w:szCs w:val="28"/>
              </w:rPr>
              <w:t>481</w:t>
            </w:r>
          </w:p>
        </w:tc>
      </w:tr>
      <w:tr w:rsidR="00F405B9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333292F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F405B9" w:rsidRPr="005D2DDD" w14:paraId="4FA7F15C" w14:textId="77777777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66EAA10E" w14:textId="37E0B7DE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52317D7C" w14:textId="363D7A5B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F405B9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6F8BC05C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التربية بالزلفي </w:t>
            </w:r>
          </w:p>
        </w:tc>
      </w:tr>
      <w:tr w:rsidR="00F405B9" w:rsidRPr="005D2DDD" w14:paraId="7A91500C" w14:textId="77777777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14:paraId="78E3452A" w14:textId="6CAA098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14:paraId="41E147EE" w14:textId="5F5F7850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1802D46E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61E88147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716B2BA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5E13612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F7EEBC4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21F7E48C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456FD442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0FF14194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46C448D9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7788A8D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36DE9611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0AE10F6C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24FC5622" w:rsidR="00EF018C" w:rsidRDefault="008F3197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158DCE3E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04226193" w:rsidR="00EF018C" w:rsidRDefault="008F3197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2C6CBF2B" w:rsidR="00807FAF" w:rsidRPr="003302F2" w:rsidRDefault="0006340B" w:rsidP="00416FE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7B4BEFC3" w:rsidR="00A506A9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2B3A0526" w:rsidR="005C6B5C" w:rsidRPr="005D2DDD" w:rsidRDefault="00F405B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405B9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63CEF70B" w:rsidR="00C537CB" w:rsidRPr="003302F2" w:rsidRDefault="00F87C26" w:rsidP="000634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06340B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الثالث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AE2D0B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62EE9A3A" w:rsidR="00550C20" w:rsidRPr="003302F2" w:rsidRDefault="00550C20" w:rsidP="0006340B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2798F036" w:rsidR="00C537CB" w:rsidRPr="003302F2" w:rsidRDefault="0081562B" w:rsidP="00F405B9">
            <w:pPr>
              <w:tabs>
                <w:tab w:val="left" w:pos="5089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F405B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ab/>
            </w:r>
            <w:r w:rsidR="00F405B9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356634">
        <w:trPr>
          <w:trHeight w:val="355"/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F405B9" w:rsidRPr="005D2DDD" w14:paraId="033ADE38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79A512C" w:rsidR="00F405B9" w:rsidRPr="002B5BE6" w:rsidRDefault="00356634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2</w:t>
            </w:r>
            <w:r w:rsidR="00F644B3" w:rsidRPr="002B5BE6">
              <w:rPr>
                <w:rFonts w:asciiTheme="majorBidi" w:hAnsiTheme="majorBidi" w:cstheme="majorBidi"/>
                <w:b/>
                <w:bCs/>
                <w:color w:val="0070C0"/>
                <w:rtl/>
              </w:rPr>
              <w:t>×</w:t>
            </w:r>
            <w:r w:rsidR="00F644B3"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 xml:space="preserve"> 14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44B2E44" w14:textId="0196E1F1" w:rsidR="00F405B9" w:rsidRPr="002B5BE6" w:rsidRDefault="002B5BE6" w:rsidP="002B5BE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75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5F192B30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045D32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D2EFFD4" w14:textId="0677D74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0 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  <w:tr w:rsidR="00F405B9" w:rsidRPr="005D2DDD" w14:paraId="03788974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4DF1AD97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2207D6D" w14:textId="3D57F4BC" w:rsidR="00F405B9" w:rsidRPr="002B5BE6" w:rsidRDefault="002B5BE6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>25</w:t>
            </w:r>
            <w:r w:rsidR="00F405B9"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 </w:t>
            </w:r>
            <w:r w:rsidR="00F405B9"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202F0F7B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48362A04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3759057" w14:textId="60F6C57A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 xml:space="preserve"> %</w:t>
            </w:r>
          </w:p>
        </w:tc>
      </w:tr>
      <w:tr w:rsidR="00F405B9" w:rsidRPr="005D2DDD" w14:paraId="7C94DA73" w14:textId="77777777" w:rsidTr="00F405B9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F405B9" w:rsidRPr="005D2DDD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F405B9" w:rsidRPr="005D2DDD" w:rsidRDefault="00F405B9" w:rsidP="00F405B9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31D609F0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لا يوجد</w:t>
            </w:r>
          </w:p>
        </w:tc>
        <w:tc>
          <w:tcPr>
            <w:tcW w:w="24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E3C5BA6" w14:textId="7602B3FB" w:rsidR="00F405B9" w:rsidRPr="002B5BE6" w:rsidRDefault="00F405B9" w:rsidP="00F405B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70C0"/>
              </w:rPr>
            </w:pPr>
            <w:r w:rsidRPr="002B5BE6">
              <w:rPr>
                <w:rFonts w:ascii="Maiandra GD" w:hAnsi="Maiandra GD" w:cs="AL-Mohanad" w:hint="cs"/>
                <w:b/>
                <w:bCs/>
                <w:color w:val="0070C0"/>
                <w:sz w:val="28"/>
                <w:szCs w:val="28"/>
                <w:rtl/>
              </w:rPr>
              <w:t xml:space="preserve">0 </w:t>
            </w:r>
            <w:r w:rsidRPr="002B5BE6">
              <w:rPr>
                <w:rFonts w:ascii="Maiandra GD" w:hAnsi="Maiandra GD" w:cs="AL-Mohanad"/>
                <w:b/>
                <w:bCs/>
                <w:color w:val="0070C0"/>
                <w:sz w:val="28"/>
                <w:szCs w:val="28"/>
                <w:rtl/>
              </w:rPr>
              <w:t>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</w:rPr>
      </w:pPr>
    </w:p>
    <w:p w14:paraId="2CA326DF" w14:textId="77777777"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4B4608E7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957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F405B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51B2E646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111080" w14:textId="786A247D" w:rsidR="00026BDF" w:rsidRPr="00EF018C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F018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الاتصال</w:t>
            </w:r>
          </w:p>
        </w:tc>
      </w:tr>
      <w:tr w:rsidR="00F405B9" w:rsidRPr="0019322E" w14:paraId="779E695B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0633A64F" w:rsidR="00F405B9" w:rsidRPr="000274EF" w:rsidRDefault="00356634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</w:t>
            </w:r>
            <w:r w:rsidR="002B5BE6" w:rsidRPr="002B5BE6">
              <w:rPr>
                <w:rFonts w:asciiTheme="majorBidi" w:hAnsiTheme="majorBidi" w:cstheme="majorBidi"/>
                <w:color w:val="31849B" w:themeColor="accent5" w:themeShade="BF"/>
                <w:rtl/>
              </w:rPr>
              <w:t>×</w:t>
            </w:r>
            <w:r w:rsidR="002B5BE6" w:rsidRPr="002B5BE6">
              <w:rPr>
                <w:rFonts w:asciiTheme="majorBidi" w:hAnsiTheme="majorBidi" w:cstheme="majorBidi" w:hint="cs"/>
                <w:color w:val="31849B" w:themeColor="accent5" w:themeShade="BF"/>
                <w:rtl/>
                <w:lang w:bidi="ar-EG"/>
              </w:rPr>
              <w:t xml:space="preserve"> 14</w:t>
            </w:r>
          </w:p>
        </w:tc>
      </w:tr>
      <w:tr w:rsidR="00F405B9" w:rsidRPr="0019322E" w14:paraId="1A5EEBA2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E2DF3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3D19845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9A56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6BC687B6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1D07F444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لا يوجد</w:t>
            </w:r>
          </w:p>
        </w:tc>
      </w:tr>
      <w:tr w:rsidR="00F405B9" w:rsidRPr="0019322E" w14:paraId="7654BAC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5C4A04C" w14:textId="4F6A76C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3464924" w14:textId="6E150362" w:rsidR="00F405B9" w:rsidRPr="009B0DDB" w:rsidRDefault="00F405B9" w:rsidP="00F405B9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14:paraId="1A70D980" w14:textId="27895B0B" w:rsidR="00F405B9" w:rsidRPr="000274EF" w:rsidRDefault="00356634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</w:p>
        </w:tc>
      </w:tr>
      <w:tr w:rsidR="00F9134E" w:rsidRPr="0019322E" w14:paraId="76E00BE5" w14:textId="77777777" w:rsidTr="00F405B9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6925E7" w14:textId="4F085551" w:rsidR="00F9134E" w:rsidRPr="0019322E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 الأخرى*</w:t>
            </w:r>
          </w:p>
        </w:tc>
      </w:tr>
      <w:tr w:rsidR="00F405B9" w:rsidRPr="0019322E" w14:paraId="78DE9361" w14:textId="77777777" w:rsidTr="00F405B9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7FF85D2D" w14:textId="6BD0B0D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14:paraId="761B8BAB" w14:textId="5608C810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19CA16EF" w14:textId="5121BF63" w:rsidR="00F405B9" w:rsidRPr="000274EF" w:rsidRDefault="00356634" w:rsidP="0035663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28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ساعات</w:t>
            </w:r>
          </w:p>
        </w:tc>
      </w:tr>
      <w:tr w:rsidR="00F405B9" w:rsidRPr="0019322E" w14:paraId="4988334C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0564EA0" w14:textId="401D5869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13192E" w14:textId="63531368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9B9D75F" w14:textId="4629D0F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060AB4B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F9E346A" w14:textId="40D59D6B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4D9196" w14:textId="245DBFE2" w:rsidR="00F405B9" w:rsidRPr="00443180" w:rsidRDefault="00F405B9" w:rsidP="00F405B9">
            <w:pPr>
              <w:bidi/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1D7017B" w14:textId="4D431DF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21ABFE5A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3F52282" w14:textId="5E04F393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39B9DC" w14:textId="3B97176B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إعداد البحوث</w:t>
            </w:r>
            <w:r w:rsidRPr="000274EF">
              <w:rPr>
                <w:rFonts w:asciiTheme="majorBidi" w:hAnsiTheme="majorBidi" w:cstheme="majorBidi"/>
                <w:lang w:bidi="ar-EG"/>
              </w:rPr>
              <w:t>/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79BDE4D" w14:textId="22E0DB48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ساعة واحدة</w:t>
            </w:r>
          </w:p>
        </w:tc>
      </w:tr>
      <w:tr w:rsidR="00F405B9" w:rsidRPr="0019322E" w14:paraId="326E3C3F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D2AC995" w14:textId="3E3E303C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14:paraId="0D8428EE" w14:textId="728B75F7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حل الواجبات والمشاركة في نظام البلاك بورد </w:t>
            </w:r>
            <w:r>
              <w:rPr>
                <w:rFonts w:asciiTheme="majorBidi" w:hAnsiTheme="majorBidi" w:cstheme="majorBidi"/>
                <w:lang w:bidi="ar-EG"/>
              </w:rPr>
              <w:t>BLACKBOARD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222F719" w14:textId="27491121" w:rsidR="00F405B9" w:rsidRPr="000274EF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ساعة واحدة</w:t>
            </w:r>
          </w:p>
        </w:tc>
      </w:tr>
      <w:tr w:rsidR="00F405B9" w:rsidRPr="0019322E" w14:paraId="473A2EE8" w14:textId="77777777" w:rsidTr="00F405B9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56AF14F" w14:textId="77777777" w:rsidR="00F405B9" w:rsidRDefault="00F405B9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2B813F4" w14:textId="2C85EC5A" w:rsidR="00F405B9" w:rsidRPr="000274EF" w:rsidRDefault="00F405B9" w:rsidP="00F405B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AE25095" w14:textId="09156B12" w:rsidR="00F405B9" w:rsidRPr="000274EF" w:rsidRDefault="00356634" w:rsidP="00F405B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>32</w:t>
            </w:r>
            <w:r w:rsidR="00F405B9" w:rsidRPr="00040B87">
              <w:rPr>
                <w:rFonts w:asciiTheme="majorBidi" w:hAnsiTheme="majorBidi" w:cstheme="majorBidi" w:hint="cs"/>
                <w:b/>
                <w:bCs/>
                <w:color w:val="0070C0"/>
                <w:rtl/>
                <w:lang w:bidi="ar-EG"/>
              </w:rPr>
              <w:t xml:space="preserve"> ساعة</w:t>
            </w:r>
          </w:p>
        </w:tc>
      </w:tr>
    </w:tbl>
    <w:p w14:paraId="49ABD340" w14:textId="52B0851B"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2D97E3A" w14:textId="44DD3E72" w:rsidR="00673AFD" w:rsidRPr="00876BB8" w:rsidRDefault="00192987" w:rsidP="00E814D2">
            <w:pPr>
              <w:pStyle w:val="2"/>
              <w:rPr>
                <w:rFonts w:cs="Times New Roman"/>
                <w:color w:val="FF0000"/>
                <w:rtl/>
                <w:lang w:bidi="ar-JO"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  <w:r w:rsidR="00F405B9">
              <w:rPr>
                <w:rFonts w:hint="cs"/>
                <w:rtl/>
              </w:rPr>
              <w:t xml:space="preserve"> 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تتناول مهارة الاستماع والتحدث </w:t>
            </w:r>
            <w:r w:rsidR="00356634" w:rsidRPr="003D736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أهداف تدريس 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>المقرر</w:t>
            </w:r>
            <w:r w:rsidR="00356634" w:rsidRPr="003D736A">
              <w:rPr>
                <w:rFonts w:cs="Arabic Transparent" w:hint="cs"/>
                <w:sz w:val="28"/>
                <w:szCs w:val="28"/>
                <w:rtl/>
                <w:lang w:bidi="ar-JO"/>
              </w:rPr>
              <w:t>، و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>ت</w:t>
            </w:r>
            <w:r w:rsidR="00356634" w:rsidRPr="003D736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تطرق إلى دراسة  مفهوم 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>الاستماع</w:t>
            </w:r>
            <w:r w:rsidR="00356634" w:rsidRPr="003D736A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لغة واصطلاحا،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وبيان أن مهارتي الاستماع والتحدث من مهارات التواصل اللفظي، وبيان أهمية هاتين المهارتين، ووظيفتيهما، وعلاقة مهارة الاستماع بمهارات التواصل اللغوي الأخرى (التحدث </w:t>
            </w:r>
            <w:r w:rsidR="00356634">
              <w:rPr>
                <w:rFonts w:cs="Arabic Transparent"/>
                <w:sz w:val="28"/>
                <w:szCs w:val="28"/>
                <w:rtl/>
                <w:lang w:bidi="ar-JO"/>
              </w:rPr>
              <w:t>–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>القراءة - الكتابة)، والمؤثرات في مهارتي الاستماع والتحدث، وسمات الاستماع الجيد ومعوقاته، والوقوف أمام خطوات التحدث الخمسة، وسمات المتحدث الجيد، والبناء اللغوي للحديث، وتهدف للوصول إلى فهم الكلام المسمو</w:t>
            </w:r>
            <w:r w:rsidR="00356634">
              <w:rPr>
                <w:rFonts w:cs="Arabic Transparent" w:hint="eastAsia"/>
                <w:sz w:val="28"/>
                <w:szCs w:val="28"/>
                <w:rtl/>
                <w:lang w:bidi="ar-JO"/>
              </w:rPr>
              <w:t>ع</w:t>
            </w:r>
            <w:r w:rsidR="00356634">
              <w:rPr>
                <w:rFonts w:cs="Arabic Transparent" w:hint="cs"/>
                <w:sz w:val="28"/>
                <w:szCs w:val="28"/>
                <w:rtl/>
                <w:lang w:bidi="ar-JO"/>
              </w:rPr>
              <w:t xml:space="preserve"> أو المقروء، وتسعى إلى تقويم اللسان تقويما سليما.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1D5B3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08E198DE" w:rsidR="00807FAF" w:rsidRPr="00CC4E2C" w:rsidRDefault="00356634" w:rsidP="00876BB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Arial" w:hAnsi="Arial" w:cs="AL-Mohanad" w:hint="cs"/>
                <w:b/>
                <w:color w:val="1F497D" w:themeColor="text2"/>
                <w:sz w:val="28"/>
                <w:szCs w:val="28"/>
                <w:rtl/>
              </w:rPr>
              <w:t xml:space="preserve"> </w:t>
            </w:r>
            <w:r w:rsidRPr="000A310F">
              <w:rPr>
                <w:rFonts w:hint="cs"/>
                <w:b/>
                <w:bCs/>
                <w:sz w:val="28"/>
                <w:szCs w:val="28"/>
                <w:rtl/>
              </w:rPr>
              <w:t xml:space="preserve">أن يعرف الطالب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تعريف مهارة الاستماع وأنها المهارة الأولى من بين مهارات التواصل اللغوي</w:t>
            </w:r>
          </w:p>
        </w:tc>
      </w:tr>
    </w:tbl>
    <w:p w14:paraId="05711FF0" w14:textId="4CD03797" w:rsidR="00BD2CF4" w:rsidRPr="005D2DDD" w:rsidRDefault="006F5B3C" w:rsidP="001D5B3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34586" w:rsidRPr="005D2DDD" w14:paraId="18E8BA6E" w14:textId="77777777" w:rsidTr="00FE278D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bookmarkEnd w:id="12"/>
          <w:p w14:paraId="7255AB17" w14:textId="77777777" w:rsidR="00434586" w:rsidRPr="005D2DDD" w:rsidRDefault="00434586" w:rsidP="00FE278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917934" w14:textId="77777777" w:rsidR="00434586" w:rsidRPr="006A3DE9" w:rsidRDefault="00434586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76E3B6CC" w14:textId="77777777" w:rsidR="00434586" w:rsidRPr="00E116C0" w:rsidRDefault="00434586" w:rsidP="00FE278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34586" w:rsidRPr="005D2DDD" w14:paraId="4CA6A34E" w14:textId="77777777" w:rsidTr="00FE27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344CD6D" w14:textId="77777777" w:rsidR="00434586" w:rsidRPr="00B4292A" w:rsidRDefault="00434586" w:rsidP="00FE278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189A2AA" w14:textId="77777777" w:rsidR="00434586" w:rsidRPr="00E02FB7" w:rsidRDefault="00434586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المعارف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8324C51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34586" w:rsidRPr="005D2DDD" w14:paraId="5EB286A8" w14:textId="77777777" w:rsidTr="00FE278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FD3C60C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61849C" w14:textId="02FD8CA2" w:rsidR="00434586" w:rsidRPr="00B4292A" w:rsidRDefault="00434586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3A29551A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ع1</w:t>
            </w:r>
          </w:p>
        </w:tc>
      </w:tr>
      <w:tr w:rsidR="00434586" w:rsidRPr="005D2DDD" w14:paraId="7966E819" w14:textId="77777777" w:rsidTr="00FE278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1E4CE6D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FD495" w14:textId="2C7A2C55" w:rsidR="00434586" w:rsidRPr="00B4292A" w:rsidRDefault="00434586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أنواع 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5D1B3FAE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ع2</w:t>
            </w:r>
          </w:p>
        </w:tc>
      </w:tr>
      <w:tr w:rsidR="00434586" w:rsidRPr="005D2DDD" w14:paraId="1910BB86" w14:textId="77777777" w:rsidTr="00FE27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E30AE1" w14:textId="77777777" w:rsidR="00434586" w:rsidRPr="00E02FB7" w:rsidRDefault="00434586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5025470F" w14:textId="77777777" w:rsidR="00434586" w:rsidRPr="00E02FB7" w:rsidRDefault="00434586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</w:tcPr>
          <w:p w14:paraId="4123E4E3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34586" w:rsidRPr="005D2DDD" w14:paraId="3EBABCC4" w14:textId="77777777" w:rsidTr="00FE278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F6BC1A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9B02AA" w14:textId="2D499160" w:rsidR="00434586" w:rsidRPr="00B4292A" w:rsidRDefault="00434586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يحلل النصوص من خلال 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627" w:type="dxa"/>
          </w:tcPr>
          <w:p w14:paraId="12C23011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م1</w:t>
            </w:r>
          </w:p>
        </w:tc>
      </w:tr>
      <w:tr w:rsidR="00434586" w:rsidRPr="005D2DDD" w14:paraId="6BBD209C" w14:textId="77777777" w:rsidTr="00FE278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CE874B6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D224DD" w14:textId="77777777" w:rsidR="00434586" w:rsidRPr="00B4292A" w:rsidRDefault="00434586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1627" w:type="dxa"/>
          </w:tcPr>
          <w:p w14:paraId="44DCF559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</w:rPr>
              <w:t>م2</w:t>
            </w:r>
          </w:p>
        </w:tc>
      </w:tr>
      <w:tr w:rsidR="00434586" w:rsidRPr="005D2DDD" w14:paraId="457EA4F6" w14:textId="77777777" w:rsidTr="00FE278D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5198F33D" w14:textId="77777777" w:rsidR="00434586" w:rsidRPr="00E02FB7" w:rsidRDefault="00434586" w:rsidP="00FE278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73B83AA8" w14:textId="77777777" w:rsidR="00434586" w:rsidRPr="00E02FB7" w:rsidRDefault="00434586" w:rsidP="00FE278D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الكفاءات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7DAF3484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34586" w:rsidRPr="005D2DDD" w14:paraId="33FE8022" w14:textId="77777777" w:rsidTr="00FE278D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8B58B2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AD66AA6" w14:textId="77777777" w:rsidR="00434586" w:rsidRPr="00B4292A" w:rsidRDefault="00434586" w:rsidP="00FE278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C62ECF" w14:textId="77777777" w:rsidR="00434586" w:rsidRPr="00B4292A" w:rsidRDefault="00434586" w:rsidP="00FE278D">
            <w:pPr>
              <w:bidi/>
              <w:rPr>
                <w:rFonts w:asciiTheme="majorBidi" w:hAnsiTheme="majorBidi" w:cstheme="majorBidi"/>
              </w:rPr>
            </w:pPr>
            <w:r w:rsidRPr="00B928DA">
              <w:rPr>
                <w:rFonts w:ascii="Traditional Arabic" w:hAnsi="Traditional Arabic" w:cs="Traditional Arabic"/>
                <w:sz w:val="32"/>
                <w:szCs w:val="32"/>
                <w:rtl/>
                <w:lang w:bidi="ar-EG"/>
              </w:rPr>
              <w:t>ك2</w:t>
            </w:r>
          </w:p>
        </w:tc>
      </w:tr>
    </w:tbl>
    <w:p w14:paraId="41870ED7" w14:textId="75A88C38" w:rsidR="00741AEF" w:rsidRDefault="00434586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14:paraId="1D418404" w14:textId="77777777" w:rsidR="00434586" w:rsidRPr="00434586" w:rsidRDefault="00434586" w:rsidP="00434586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30E9BC2B"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35663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95F42D4" w14:textId="513C36F3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356634" w:rsidRPr="005D2DDD" w14:paraId="7A7D722A" w14:textId="77777777" w:rsidTr="00356634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4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6F5FD334" w14:textId="7B00A708" w:rsidR="00356634" w:rsidRPr="00DE07AD" w:rsidRDefault="00356634" w:rsidP="0035663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أهداف دراسة مهارة الاستماع والتحدث، وتقديم أرضية عن محتويات المقرر وطرق تقويمه، وأهميته وحقيقته و</w:t>
            </w:r>
            <w:r w:rsidRPr="00A4672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عرض تعريف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 w:rsidRPr="00A4672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لغة واصطلاحا</w:t>
            </w:r>
            <w:r>
              <w:rPr>
                <w:rFonts w:ascii="Arial" w:hAnsi="Arial" w:cs="Sultan Medium" w:hint="cs"/>
                <w:color w:val="4F6228" w:themeColor="accent3" w:themeShade="80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082B9E03" w:rsidR="00356634" w:rsidRPr="00EA4689" w:rsidRDefault="00356634" w:rsidP="0035663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356634" w:rsidRPr="005D2DDD" w14:paraId="1ECDCD5F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3991BA1B" w14:textId="6314E154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مهارة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أساس في تشكيل التواصل اللفظي / اللغوي، ومكانتها بين صور التواصل اللفظي</w:t>
            </w:r>
            <w:r w:rsidRPr="008453A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–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مراحل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عملية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0C5991F7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356634" w:rsidRPr="005D2DDD" w14:paraId="123517E9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584C671E" w14:textId="3315446F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أهمية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علاقة الاستماع بصور التواصل اللفظي (التحدث 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القراءة - الكتابة) 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وظائف الاستماع 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سمات الاستماع الجيد وشروطه 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 xml:space="preserve"> تنمية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مهارة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عوائق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453AC">
              <w:rPr>
                <w:rFonts w:cs="Arial" w:hint="eastAsia"/>
                <w:b/>
                <w:bCs/>
                <w:color w:val="002060"/>
                <w:sz w:val="28"/>
                <w:szCs w:val="28"/>
                <w:rtl/>
              </w:rPr>
              <w:t>الاستماع</w:t>
            </w:r>
            <w:r w:rsidRPr="008453A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63415F09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356634" w:rsidRPr="005D2DDD" w14:paraId="7575697F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19E2F647" w14:textId="51EF25E6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تطبيقات عملية وتدريبات تفاعلية على مهارة الاستماع وآدابه وطرائقه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5DE7BFD9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356634" w:rsidRPr="005D2DDD" w14:paraId="54E1ECC3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345D31FC" w14:textId="5E8DBEA5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مهارة التحدث: تعريفها ومكانتها بين صور التواصل اللفظي، وعلاقتها بالاستماع والقراءة والكتابة، والمقارنة بين التحدث والكتابة، وأهمية مهارة التحدث.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1EB7D109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356634" w:rsidRPr="005D2DDD" w14:paraId="2D456FE0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6DB75AA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7A44CCE1" w14:textId="7ED7B4D3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خطوات المحادثة الخمسة، وسمات المتحدث الجيد:1-السمات الشخصية للمتحدث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السمات الصوتية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القدرات الإقناعية. 2- المقومات المرتبطة بالمستمعين 3- مقومات متعلقة باللغة. 3- البناء اللغوي للحديث وطرق إجرائه.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4EEA4A65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356634" w:rsidRPr="005D2DDD" w14:paraId="3237E936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F528B" w14:textId="7C3DC0AA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0A6E95EF" w14:textId="344110A4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تطبيقات عملية وتدريبات تفاعلية على مهارة التحدث واكتشاف قدرات الطلاب في الحوار والمحادثة والإقناع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7AB9D4" w14:textId="0D34D5D8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4</w:t>
            </w:r>
          </w:p>
        </w:tc>
      </w:tr>
      <w:tr w:rsidR="00356634" w:rsidRPr="005D2DDD" w14:paraId="0580D652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38C59" w14:textId="681525A7" w:rsidR="00356634" w:rsidRPr="00DE07AD" w:rsidRDefault="00356634" w:rsidP="0035663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  <w:vAlign w:val="center"/>
          </w:tcPr>
          <w:p w14:paraId="4F9BF9BD" w14:textId="3F284583" w:rsidR="00356634" w:rsidRPr="00EA4689" w:rsidRDefault="00356634" w:rsidP="00356634">
            <w:pPr>
              <w:bidi/>
              <w:jc w:val="lowKashida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مهارات تطبيقية مرتبطة بمهارتي الاستماع والتحدث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فن الإلقاء ومهاراته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 xml:space="preserve">(الخطابية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المقالية </w:t>
            </w:r>
            <w:r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الشعرية) - </w:t>
            </w:r>
            <w:r w:rsidRPr="008D50B6">
              <w:rPr>
                <w:b/>
                <w:bCs/>
                <w:color w:val="002060"/>
                <w:sz w:val="28"/>
                <w:szCs w:val="28"/>
                <w:rtl/>
              </w:rPr>
              <w:t>مفهوم الحوار، - أهمية الحوار، - أنواع الحوار، - أنماط المتحاورين، - سمات المحاور المقنع،- مهارات الحوار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C8A579" w14:textId="3EFC6815" w:rsidR="00356634" w:rsidRPr="00EA4689" w:rsidRDefault="00356634" w:rsidP="00356634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lastRenderedPageBreak/>
              <w:t>4</w:t>
            </w:r>
          </w:p>
        </w:tc>
      </w:tr>
      <w:tr w:rsidR="008C6F68" w:rsidRPr="005D2DDD" w14:paraId="4D7C6784" w14:textId="77777777" w:rsidTr="0035663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1236D" w14:textId="77777777" w:rsidR="008C6F68" w:rsidRDefault="008C6F68" w:rsidP="008C6F6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655" w:type="dxa"/>
            <w:tcBorders>
              <w:top w:val="single" w:sz="2" w:space="0" w:color="4F6228" w:themeColor="accent3" w:themeShade="80"/>
              <w:left w:val="single" w:sz="4" w:space="0" w:color="76923C" w:themeColor="accent3" w:themeShade="BF"/>
              <w:bottom w:val="single" w:sz="2" w:space="0" w:color="4F6228" w:themeColor="accent3" w:themeShade="80"/>
              <w:right w:val="single" w:sz="4" w:space="0" w:color="4F6228" w:themeColor="accent3" w:themeShade="80"/>
            </w:tcBorders>
            <w:shd w:val="clear" w:color="auto" w:fill="auto"/>
          </w:tcPr>
          <w:p w14:paraId="6F38D859" w14:textId="7986CEE6" w:rsidR="008C6F68" w:rsidRPr="00147D03" w:rsidRDefault="008C6F68" w:rsidP="008C6F68">
            <w:pPr>
              <w:bidi/>
              <w:jc w:val="lowKashida"/>
              <w:rPr>
                <w:rFonts w:cs="KacstBook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D0C0AB" w14:textId="7E901BC8" w:rsidR="008C6F68" w:rsidRDefault="008C6F68" w:rsidP="008C6F68">
            <w:pPr>
              <w:bidi/>
              <w:jc w:val="center"/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225ED" w:rsidRPr="005D2DDD" w14:paraId="59B12369" w14:textId="77777777" w:rsidTr="0035663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C1D6EBD" w14:textId="506581F1" w:rsidR="00D225ED" w:rsidRPr="00AE2D0B" w:rsidRDefault="0035663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</w:t>
            </w:r>
          </w:p>
        </w:tc>
      </w:tr>
    </w:tbl>
    <w:p w14:paraId="71F91938" w14:textId="34702087"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14:paraId="13BD6D71" w14:textId="6547E94B"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1D5B3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0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997"/>
        <w:gridCol w:w="2437"/>
        <w:gridCol w:w="2284"/>
      </w:tblGrid>
      <w:tr w:rsidR="00434586" w14:paraId="047F299C" w14:textId="77777777" w:rsidTr="00434586">
        <w:trPr>
          <w:trHeight w:val="401"/>
          <w:tblHeader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hideMark/>
          </w:tcPr>
          <w:p w14:paraId="620CDD9F" w14:textId="77777777" w:rsidR="00434586" w:rsidRDefault="00434586" w:rsidP="00FE278D">
            <w:pPr>
              <w:bidi/>
              <w:jc w:val="center"/>
              <w:rPr>
                <w:lang w:bidi="ar-EG"/>
              </w:rPr>
            </w:pPr>
            <w:bookmarkStart w:id="19" w:name="_Toc337792"/>
            <w:bookmarkStart w:id="20" w:name="_Toc526247387"/>
            <w:r>
              <w:rPr>
                <w:rFonts w:hint="cs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29F0151" w14:textId="77777777" w:rsidR="00434586" w:rsidRDefault="00434586" w:rsidP="00FE278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9025120" w14:textId="77777777" w:rsidR="00434586" w:rsidRDefault="00434586" w:rsidP="00FE278D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EF0426" w14:textId="77777777" w:rsidR="00434586" w:rsidRDefault="00434586" w:rsidP="00FE278D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طرق التقييم</w:t>
            </w:r>
          </w:p>
        </w:tc>
      </w:tr>
      <w:tr w:rsidR="00434586" w14:paraId="3A95FD43" w14:textId="77777777" w:rsidTr="00434586"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6BE645" w14:textId="77777777" w:rsidR="00434586" w:rsidRDefault="00434586" w:rsidP="00FE278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6D9911" w14:textId="77777777" w:rsidR="00434586" w:rsidRDefault="00434586" w:rsidP="00FE278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المعارف</w:t>
            </w:r>
          </w:p>
        </w:tc>
      </w:tr>
      <w:tr w:rsidR="00434586" w14:paraId="5B401EE6" w14:textId="77777777" w:rsidTr="00434586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2721D63F" w14:textId="77777777" w:rsidR="00434586" w:rsidRDefault="00434586" w:rsidP="00434586">
            <w:pPr>
              <w:bidi/>
              <w:jc w:val="center"/>
            </w:pPr>
            <w: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24FFBC" w14:textId="06AC275B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أن يحدد النظريات الحديثة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1E73A8C3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561E1608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434586" w14:paraId="3FD079A9" w14:textId="77777777" w:rsidTr="00434586">
        <w:tc>
          <w:tcPr>
            <w:tcW w:w="8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45EE5045" w14:textId="77777777" w:rsidR="00434586" w:rsidRDefault="00434586" w:rsidP="00434586">
            <w:pPr>
              <w:bidi/>
              <w:jc w:val="center"/>
            </w:pPr>
            <w:r>
              <w:t>1.2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8A446D" w14:textId="4B1BBA10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يحدد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أنواع 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6D6FEFDF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7A523BE3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434586" w14:paraId="3FAD900D" w14:textId="77777777" w:rsidTr="00434586"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D82E86" w14:textId="77777777" w:rsidR="00434586" w:rsidRDefault="00434586" w:rsidP="00FE278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7D9442" w14:textId="77777777" w:rsidR="00434586" w:rsidRDefault="00434586" w:rsidP="00FE278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المهارات</w:t>
            </w:r>
          </w:p>
        </w:tc>
      </w:tr>
      <w:tr w:rsidR="00434586" w14:paraId="4D9EEB4C" w14:textId="77777777" w:rsidTr="00434586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007C281B" w14:textId="77777777" w:rsidR="00434586" w:rsidRDefault="00434586" w:rsidP="00434586">
            <w:pPr>
              <w:bidi/>
              <w:jc w:val="center"/>
            </w:pPr>
            <w:r>
              <w:t>2.1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61B3E12" w14:textId="5628C17A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يحلل النصوص من خلال الاستماع والتحدث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E28FD19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1582951B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434586" w14:paraId="737D9FD5" w14:textId="77777777" w:rsidTr="00434586">
        <w:tc>
          <w:tcPr>
            <w:tcW w:w="8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  <w:hideMark/>
          </w:tcPr>
          <w:p w14:paraId="64B5AF2E" w14:textId="77777777" w:rsidR="00434586" w:rsidRDefault="00434586" w:rsidP="00434586">
            <w:pPr>
              <w:bidi/>
              <w:jc w:val="center"/>
            </w:pPr>
            <w: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90E591F" w14:textId="5320F494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يستخرج المعاني والأفكار من النصوص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67DB2D6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F42748A" w14:textId="77777777" w:rsidR="00434586" w:rsidRDefault="00434586" w:rsidP="00434586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 xml:space="preserve">الاختبارات الشفوية والتحريرية – لواجبات – البحوث العلمية  .  المتابعة والملاحظة في قاعة الدرس </w:t>
            </w:r>
          </w:p>
        </w:tc>
      </w:tr>
      <w:tr w:rsidR="00434586" w14:paraId="19EC5E9E" w14:textId="77777777" w:rsidTr="00434586"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5699615" w14:textId="77777777" w:rsidR="00434586" w:rsidRDefault="00434586" w:rsidP="00FE278D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EAF6617" w14:textId="77777777" w:rsidR="00434586" w:rsidRDefault="00434586" w:rsidP="00FE278D">
            <w:pPr>
              <w:bidi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rtl/>
              </w:rPr>
              <w:t>الكفاءات</w:t>
            </w:r>
          </w:p>
        </w:tc>
      </w:tr>
      <w:tr w:rsidR="00434586" w14:paraId="1EF598ED" w14:textId="77777777" w:rsidTr="00434586">
        <w:tc>
          <w:tcPr>
            <w:tcW w:w="8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BF69A35" w14:textId="77777777" w:rsidR="00434586" w:rsidRDefault="00434586" w:rsidP="00FE278D">
            <w:pPr>
              <w:bidi/>
              <w:jc w:val="center"/>
            </w:pPr>
            <w:r>
              <w:t>…</w:t>
            </w:r>
          </w:p>
        </w:tc>
        <w:tc>
          <w:tcPr>
            <w:tcW w:w="399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E86AFAE" w14:textId="77777777" w:rsidR="00434586" w:rsidRDefault="00434586" w:rsidP="00FE278D">
            <w:pPr>
              <w:bidi/>
              <w:jc w:val="lowKashida"/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يستخدم التقنيات الحديثة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43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0E8A8A" w14:textId="77777777" w:rsidR="00434586" w:rsidRDefault="00434586" w:rsidP="00FE278D">
            <w:pPr>
              <w:bidi/>
              <w:jc w:val="lowKashida"/>
            </w:pPr>
            <w:r>
              <w:rPr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</w:rPr>
              <w:t>المحاضرات – المناقشة والحوار – التعلم الذاتي -  العصف الذهني – التعلم التعاوني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2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E5B249" w14:textId="77777777" w:rsidR="00434586" w:rsidRDefault="00434586" w:rsidP="00FE278D">
            <w:pPr>
              <w:bidi/>
              <w:jc w:val="lowKashida"/>
              <w:rPr>
                <w:lang w:bidi="ar-EG"/>
              </w:rPr>
            </w:pPr>
            <w:r>
              <w:rPr>
                <w:rFonts w:ascii="Traditional Arabic" w:eastAsia="Calibri" w:hAnsi="Traditional Arabic" w:cs="Traditional Arabic"/>
                <w:sz w:val="36"/>
                <w:szCs w:val="36"/>
                <w:rtl/>
                <w:lang w:bidi="ar-EG"/>
              </w:rPr>
              <w:t>الاختبارات الشفوية والتحريرية – لواجبات – البحوث العلمية  .  المتابعة والملاحظة في قاعة الدرس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</w:tbl>
    <w:p w14:paraId="3E5871A7" w14:textId="77777777" w:rsidR="00434586" w:rsidRPr="00434586" w:rsidRDefault="00434586" w:rsidP="001D5B32">
      <w:pPr>
        <w:pStyle w:val="2"/>
        <w:rPr>
          <w:rtl/>
        </w:rPr>
      </w:pPr>
    </w:p>
    <w:p w14:paraId="26B38947" w14:textId="7B03080A" w:rsidR="00E34F0F" w:rsidRPr="005D2DDD" w:rsidRDefault="006F5B3C" w:rsidP="001D5B32">
      <w:pPr>
        <w:pStyle w:val="2"/>
        <w:rPr>
          <w:rtl/>
          <w:lang w:bidi="ar-EG"/>
        </w:rPr>
      </w:pPr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E65D13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E65D13" w:rsidRPr="005D2DDD" w14:paraId="2A1E4DD6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7B9453C6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A2889F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0416A8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20 %</w:t>
            </w:r>
          </w:p>
        </w:tc>
      </w:tr>
      <w:tr w:rsidR="00E65D13" w:rsidRPr="005D2DDD" w14:paraId="0D4AB97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8A06D8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6D967529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4019990F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37B06F1E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3111B555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0F665267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373E8B2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10 %</w:t>
            </w:r>
          </w:p>
        </w:tc>
      </w:tr>
      <w:tr w:rsidR="00E65D13" w:rsidRPr="005D2DDD" w14:paraId="46A84238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70B2E61A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A3273CD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1C9138CC" w:rsidR="00E65D13" w:rsidRPr="00162A2E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color w:val="403152" w:themeColor="accent4" w:themeShade="80"/>
                <w:sz w:val="28"/>
                <w:szCs w:val="28"/>
              </w:rPr>
            </w:pPr>
            <w:r w:rsidRPr="00162A2E">
              <w:rPr>
                <w:rFonts w:asciiTheme="majorBidi" w:hAnsiTheme="majorBidi" w:cstheme="majorBidi" w:hint="cs"/>
                <w:b/>
                <w:bCs/>
                <w:color w:val="403152" w:themeColor="accent4" w:themeShade="80"/>
                <w:sz w:val="28"/>
                <w:szCs w:val="28"/>
                <w:rtl/>
              </w:rPr>
              <w:t>60 %</w:t>
            </w:r>
          </w:p>
        </w:tc>
      </w:tr>
      <w:tr w:rsidR="00E65D13" w:rsidRPr="005D2DDD" w14:paraId="227677C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E65D13" w:rsidRPr="009D1E6C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0BF7FE08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5484F6AC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03404ADF" w:rsidR="00E65D13" w:rsidRPr="00DE07AD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6225A89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DE1387" w14:textId="1AFB2F11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6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39FF866" w14:textId="41AA8F2E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B0934D3" w14:textId="3A9D5AA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3C5F57" w14:textId="2E241DF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3A68F66C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F7E9A6" w14:textId="678CA477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7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7CB61C4" w14:textId="6B6A5A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727B96" w14:textId="0BBCF75D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FC0C1A" w14:textId="4743B67F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0DA0" w:rsidRPr="005D2DDD" w14:paraId="10C93D9F" w14:textId="77777777" w:rsidTr="00E65D13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C250D1" w14:textId="02AFAFB4" w:rsidR="00810DA0" w:rsidRPr="009D1E6C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8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4A35BFC" w14:textId="32A3E01B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A0CA844" w14:textId="709F8450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42A00AC0" w14:textId="6A1988BC" w:rsidR="00810DA0" w:rsidRPr="00DE07AD" w:rsidRDefault="00810DA0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5BB8046" w14:textId="4C644CA5"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3EDD2584" w14:textId="44F50F0C"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14:paraId="46A47A68" w14:textId="6D9AA5BE"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1D5B3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39A119EA" w:rsidR="005612EC" w:rsidRPr="00876BB8" w:rsidRDefault="009A4983" w:rsidP="00876BB8">
            <w:pPr>
              <w:pStyle w:val="af"/>
              <w:numPr>
                <w:ilvl w:val="0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مهارات اللغة العربية، عبد الله علي مصطفى ، دار المسيرة للنشر- عمان / الأردن</w:t>
            </w:r>
          </w:p>
        </w:tc>
      </w:tr>
      <w:tr w:rsidR="005612EC" w:rsidRPr="005D2DDD" w14:paraId="5B62A824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40BE82D" w14:textId="23526DD4" w:rsidR="009A4983" w:rsidRPr="009A4983" w:rsidRDefault="009A4983" w:rsidP="009A4983">
            <w:pPr>
              <w:pStyle w:val="af"/>
              <w:numPr>
                <w:ilvl w:val="0"/>
                <w:numId w:val="10"/>
              </w:numPr>
              <w:bidi/>
              <w:ind w:left="360"/>
              <w:rPr>
                <w:b/>
                <w:bCs/>
                <w:color w:val="002060"/>
                <w:sz w:val="26"/>
                <w:szCs w:val="26"/>
                <w:rtl/>
              </w:rPr>
            </w:pPr>
            <w:r w:rsidRPr="009A4983"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تنمية مهارات اللغة العربية، سعيد عبد الله رفاعي، عالم الكتب - بيروت</w:t>
            </w:r>
          </w:p>
          <w:p w14:paraId="1BB3E265" w14:textId="77777777" w:rsidR="009A4983" w:rsidRPr="007D6811" w:rsidRDefault="009A4983" w:rsidP="009A4983">
            <w:pPr>
              <w:rPr>
                <w:b/>
                <w:bCs/>
                <w:color w:val="00206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مهارات الاستماع النشط، ماهر علي شعبان،  دار المسيرة للنشر- عمان / الأردن، الطبعة الأولى 2011م</w:t>
            </w:r>
          </w:p>
          <w:p w14:paraId="5F00F004" w14:textId="77777777" w:rsidR="009A4983" w:rsidRPr="003D736A" w:rsidRDefault="009A4983" w:rsidP="009A4983">
            <w:pPr>
              <w:rPr>
                <w:b/>
                <w:bCs/>
                <w:color w:val="002060"/>
                <w:sz w:val="26"/>
                <w:szCs w:val="26"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فن التواصل والإقناع، ليلى شحرور، الدار العربية للعلوم </w:t>
            </w:r>
            <w:r>
              <w:rPr>
                <w:rFonts w:cs="Arial"/>
                <w:b/>
                <w:bCs/>
                <w:color w:val="002060"/>
                <w:sz w:val="26"/>
                <w:szCs w:val="26"/>
                <w:rtl/>
              </w:rPr>
              <w:t>–</w:t>
            </w: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 بيروت، الطبعة الأولى 2009</w:t>
            </w:r>
          </w:p>
          <w:p w14:paraId="4C17B5E9" w14:textId="4204B38D" w:rsidR="00E65D13" w:rsidRPr="00E65D13" w:rsidRDefault="009A4983" w:rsidP="009A4983">
            <w:pPr>
              <w:numPr>
                <w:ilvl w:val="0"/>
                <w:numId w:val="6"/>
              </w:numPr>
              <w:bidi/>
              <w:ind w:left="360"/>
              <w:rPr>
                <w:rFonts w:cs="KacstBook"/>
                <w:sz w:val="28"/>
                <w:szCs w:val="28"/>
                <w:lang w:val="en-AU"/>
              </w:rPr>
            </w:pP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المهارات اللغوية </w:t>
            </w:r>
            <w:r w:rsidRPr="00330A8B">
              <w:rPr>
                <w:b/>
                <w:bCs/>
                <w:color w:val="002060"/>
                <w:sz w:val="26"/>
                <w:szCs w:val="26"/>
                <w:rtl/>
              </w:rPr>
              <w:t>مدخل إلى خصائص اللغة العربية وفنونها</w:t>
            </w:r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 xml:space="preserve">، محمد صالح </w:t>
            </w:r>
            <w:proofErr w:type="spellStart"/>
            <w:r>
              <w:rPr>
                <w:rFonts w:hint="cs"/>
                <w:b/>
                <w:bCs/>
                <w:color w:val="002060"/>
                <w:sz w:val="26"/>
                <w:szCs w:val="26"/>
                <w:rtl/>
              </w:rPr>
              <w:t>الشنطي،</w:t>
            </w:r>
            <w:r w:rsidRPr="00330A8B">
              <w:rPr>
                <w:b/>
                <w:bCs/>
                <w:color w:val="002060"/>
                <w:sz w:val="26"/>
                <w:szCs w:val="26"/>
                <w:rtl/>
              </w:rPr>
              <w:t>دار</w:t>
            </w:r>
            <w:proofErr w:type="spellEnd"/>
            <w:r w:rsidRPr="00330A8B">
              <w:rPr>
                <w:b/>
                <w:bCs/>
                <w:color w:val="002060"/>
                <w:sz w:val="26"/>
                <w:szCs w:val="26"/>
                <w:rtl/>
              </w:rPr>
              <w:t xml:space="preserve"> عالم الكتب – الرياض – ثم دار الأندلس – حائل</w:t>
            </w:r>
            <w:r w:rsidRPr="00330A8B">
              <w:rPr>
                <w:rFonts w:ascii="Greta" w:hAnsi="Greta"/>
                <w:color w:val="4B4B4B"/>
                <w:rtl/>
              </w:rPr>
              <w:t>  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1822ED46" w14:textId="1C86CD06" w:rsidR="005612EC" w:rsidRPr="00E115D6" w:rsidRDefault="005612EC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68E6BF6C" w14:textId="4C0F8738" w:rsidR="005612EC" w:rsidRDefault="000A2AEF" w:rsidP="000A2AEF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مكتبـــة الأدب الرقم</w:t>
            </w:r>
            <w:r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وال</w:t>
            </w:r>
            <w:r w:rsidR="00E65D13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مواقع التعليميـــــة المتخصص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ــة ،</w:t>
            </w:r>
            <w:r w:rsidR="00E65D13">
              <w:rPr>
                <w:rFonts w:ascii="Arial" w:hAnsi="Arial" w:cs="AL-Mohana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65D13" w:rsidRPr="00185A48">
              <w:rPr>
                <w:rFonts w:ascii="Arial" w:hAnsi="Arial" w:cs="AL-Mohanad"/>
                <w:b/>
                <w:bCs/>
                <w:sz w:val="28"/>
                <w:szCs w:val="28"/>
                <w:rtl/>
                <w:lang w:bidi="ar-EG"/>
              </w:rPr>
              <w:t>وبرامــج مواقع الجامعـــات ذات الصلــــــــة بالموضوع</w:t>
            </w:r>
          </w:p>
          <w:p w14:paraId="7BA3EB9E" w14:textId="01D83043" w:rsidR="00E65D13" w:rsidRPr="000A2AEF" w:rsidRDefault="00E65D13" w:rsidP="00E65D13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A2AE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Default="004578BB" w:rsidP="001D5B32">
      <w:pPr>
        <w:pStyle w:val="2"/>
        <w:rPr>
          <w:rtl/>
        </w:rPr>
      </w:pPr>
      <w:bookmarkStart w:id="26" w:name="_Toc526247390"/>
    </w:p>
    <w:p w14:paraId="429BD8BD" w14:textId="2F7FC014" w:rsidR="00014DE6" w:rsidRPr="005D2DDD" w:rsidRDefault="00823AD8" w:rsidP="001D5B3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E65D1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E65D13" w:rsidRPr="005D2DDD" w14:paraId="3248C2F9" w14:textId="77777777" w:rsidTr="00E65D13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3A9BC710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القاعات الدراسية المجهزة بأجهزة العرض والانترنت</w:t>
            </w:r>
          </w:p>
        </w:tc>
      </w:tr>
      <w:tr w:rsidR="00E65D13" w:rsidRPr="005D2DDD" w14:paraId="466B5979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E65D13" w:rsidRPr="005D2DDD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5308842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جهاز عرض + سبورة ذكية</w:t>
            </w:r>
          </w:p>
        </w:tc>
      </w:tr>
      <w:tr w:rsidR="00E65D13" w:rsidRPr="005D2DDD" w14:paraId="14EDB074" w14:textId="77777777" w:rsidTr="00E65D13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E65D13" w:rsidRPr="00C36A18" w:rsidRDefault="00E65D13" w:rsidP="00E65D1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31E7FE7B" w:rsidR="00E65D13" w:rsidRPr="00296746" w:rsidRDefault="00E65D13" w:rsidP="00E65D13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5470F9">
              <w:rPr>
                <w:rFonts w:asciiTheme="majorBidi" w:hAnsiTheme="majorBidi" w:cstheme="majorBidi" w:hint="cs"/>
                <w:b/>
                <w:bCs/>
                <w:color w:val="0070C0"/>
                <w:rtl/>
              </w:rPr>
              <w:t>الانترنت في المنصة</w:t>
            </w:r>
          </w:p>
        </w:tc>
      </w:tr>
    </w:tbl>
    <w:p w14:paraId="1D5F39BF" w14:textId="0456FE48"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14:paraId="1865B03B" w14:textId="10267C85" w:rsidR="00416FE2" w:rsidRDefault="00416FE2" w:rsidP="00416FE2">
      <w:pPr>
        <w:bidi/>
        <w:rPr>
          <w:rtl/>
          <w:lang w:bidi="ar-EG"/>
        </w:rPr>
      </w:pPr>
    </w:p>
    <w:p w14:paraId="2F83AD8D" w14:textId="69A5BED6" w:rsidR="00416FE2" w:rsidRDefault="00416FE2" w:rsidP="00416FE2">
      <w:pPr>
        <w:bidi/>
        <w:rPr>
          <w:rtl/>
          <w:lang w:bidi="ar-EG"/>
        </w:rPr>
      </w:pPr>
    </w:p>
    <w:p w14:paraId="16970823" w14:textId="3B1FEBE0" w:rsidR="00416FE2" w:rsidRDefault="00416FE2" w:rsidP="00416FE2">
      <w:pPr>
        <w:bidi/>
        <w:rPr>
          <w:rtl/>
          <w:lang w:bidi="ar-EG"/>
        </w:rPr>
      </w:pPr>
    </w:p>
    <w:p w14:paraId="0146632A" w14:textId="2E65A88B" w:rsidR="00416FE2" w:rsidRDefault="00416FE2" w:rsidP="00416FE2">
      <w:pPr>
        <w:pStyle w:val="1"/>
        <w:rPr>
          <w:rtl/>
        </w:rPr>
      </w:pPr>
    </w:p>
    <w:p w14:paraId="0CFFB66A" w14:textId="77777777" w:rsidR="00416FE2" w:rsidRPr="00416FE2" w:rsidRDefault="00416FE2" w:rsidP="00416FE2">
      <w:pPr>
        <w:rPr>
          <w:rtl/>
          <w:lang w:bidi="ar-EG"/>
        </w:rPr>
      </w:pPr>
    </w:p>
    <w:p w14:paraId="1F2CD1DB" w14:textId="693715A6" w:rsidR="008F7911" w:rsidRPr="005D2DDD" w:rsidRDefault="003C307F" w:rsidP="00416FE2">
      <w:pPr>
        <w:pStyle w:val="1"/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14:paraId="4CF92234" w14:textId="5B9B7BE4"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  <w:r w:rsidRPr="005D2DDD"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  <w:t xml:space="preserve"> </w:t>
      </w:r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C45F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C45F9" w:rsidRPr="005D2DDD" w14:paraId="493EFCA2" w14:textId="77777777" w:rsidTr="00CC45F9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1CCA69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1C4132F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C4D5CFE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7C0C879C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0EF52A48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6E63D3D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06C3989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6B733E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8C24B8D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70D9208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4C11595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3EB6ABFA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0E65E6CC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653E8A3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C10AED4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7A2746E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770FA6F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2E867661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77836E2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1ADF20D4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59DE7F86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47CF2899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71554527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  <w:tr w:rsidR="00CC45F9" w:rsidRPr="005D2DDD" w14:paraId="062A5DB2" w14:textId="77777777" w:rsidTr="00CC45F9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F4AE59F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4709E" w14:textId="2757F9BA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75141CE0" w:rsidR="00CC45F9" w:rsidRPr="00BC6833" w:rsidRDefault="00CC45F9" w:rsidP="00CC45F9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AD1F90">
              <w:rPr>
                <w:rFonts w:asciiTheme="majorBidi" w:hAnsiTheme="majorBidi" w:cstheme="majorBidi" w:hint="cs"/>
                <w:b/>
                <w:bCs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4694C4BA" w14:textId="77777777"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3380FCD3" w14:textId="48904655"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79A627F1" w14:textId="71721FEC"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bookmarkEnd w:id="32"/>
    <w:p w14:paraId="05ED277C" w14:textId="77777777"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8F3197" w14:paraId="4BDF1E4C" w14:textId="77777777" w:rsidTr="008F3197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2BF7345F" w14:textId="77777777" w:rsidR="008F3197" w:rsidRDefault="008F319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45A0FB8D" w14:textId="77777777" w:rsidR="008F3197" w:rsidRDefault="008F319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8F3197" w14:paraId="0FC85E15" w14:textId="77777777" w:rsidTr="008F3197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14:paraId="499A2DCA" w14:textId="77777777" w:rsidR="008F3197" w:rsidRDefault="008F319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14:paraId="3ADB729A" w14:textId="77777777" w:rsidR="008F3197" w:rsidRDefault="008F319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8F3197" w14:paraId="05614B90" w14:textId="77777777" w:rsidTr="008F3197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4CE00D5" w14:textId="77777777" w:rsidR="008F3197" w:rsidRDefault="008F3197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029D82" w14:textId="77777777" w:rsidR="008F3197" w:rsidRDefault="008F3197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14:paraId="223E57FA" w14:textId="77777777" w:rsidR="008F3197" w:rsidRPr="005D2DDD" w:rsidRDefault="008F3197" w:rsidP="008F3197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8F3197" w:rsidRPr="005D2DDD" w:rsidSect="00AE786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9D96F" w14:textId="77777777" w:rsidR="007940C7" w:rsidRDefault="007940C7">
      <w:r>
        <w:separator/>
      </w:r>
    </w:p>
  </w:endnote>
  <w:endnote w:type="continuationSeparator" w:id="0">
    <w:p w14:paraId="1E3DC802" w14:textId="77777777" w:rsidR="007940C7" w:rsidRDefault="007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Gret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4001" w14:textId="77777777" w:rsidR="006404C9" w:rsidRDefault="00640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6404C9" w:rsidRDefault="006404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95AEE" w14:textId="12C901AA" w:rsidR="006404C9" w:rsidRDefault="006404C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110161C5">
              <wp:simplePos x="0" y="0"/>
              <wp:positionH relativeFrom="column">
                <wp:posOffset>-200660</wp:posOffset>
              </wp:positionH>
              <wp:positionV relativeFrom="paragraph">
                <wp:posOffset>60960</wp:posOffset>
              </wp:positionV>
              <wp:extent cx="381000" cy="18288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4AE3C376" w:rsidR="006404C9" w:rsidRPr="003C532A" w:rsidRDefault="006404C9" w:rsidP="003C532A">
                          <w:pPr>
                            <w:pStyle w:val="a3"/>
                            <w:bidi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C532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F319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7</w:t>
                          </w:r>
                          <w:r w:rsidRPr="003C532A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8pt;margin-top:4.8pt;width:30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    <v:textbox style="mso-fit-shape-to-text:t">
                <w:txbxContent>
                  <w:p w14:paraId="7357DDF0" w14:textId="4AE3C376" w:rsidR="006404C9" w:rsidRPr="003C532A" w:rsidRDefault="006404C9" w:rsidP="003C532A">
                    <w:pPr>
                      <w:pStyle w:val="a3"/>
                      <w:bidi/>
                      <w:jc w:val="center"/>
                      <w:rPr>
                        <w:sz w:val="22"/>
                        <w:szCs w:val="22"/>
                      </w:rPr>
                    </w:pP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C532A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8F3197">
                      <w:rPr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7</w:t>
                    </w:r>
                    <w:r w:rsidRPr="003C532A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3A0B4" w14:textId="77777777" w:rsidR="007940C7" w:rsidRDefault="007940C7">
      <w:r>
        <w:separator/>
      </w:r>
    </w:p>
  </w:footnote>
  <w:footnote w:type="continuationSeparator" w:id="0">
    <w:p w14:paraId="21686C7D" w14:textId="77777777" w:rsidR="007940C7" w:rsidRDefault="007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0ED5" w14:textId="482ADAA5" w:rsidR="006404C9" w:rsidRPr="001F16EB" w:rsidRDefault="006404C9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CD6DADD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BD992" w14:textId="5AC00470" w:rsidR="006404C9" w:rsidRPr="00A006BB" w:rsidRDefault="006404C9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0715F427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062D2"/>
    <w:multiLevelType w:val="hybridMultilevel"/>
    <w:tmpl w:val="83942FF0"/>
    <w:lvl w:ilvl="0" w:tplc="729EB572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A3"/>
    <w:multiLevelType w:val="hybridMultilevel"/>
    <w:tmpl w:val="C83AE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7D91"/>
    <w:multiLevelType w:val="hybridMultilevel"/>
    <w:tmpl w:val="A120C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D38FA"/>
    <w:multiLevelType w:val="hybridMultilevel"/>
    <w:tmpl w:val="90D60C32"/>
    <w:lvl w:ilvl="0" w:tplc="5A468808">
      <w:start w:val="1"/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b/>
        <w:bCs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2E54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40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2AEF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0F6337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A2E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3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5BE6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6634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586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5337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301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04C9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3136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0A6C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40C7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6BB8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97FCE"/>
    <w:rsid w:val="008A05FD"/>
    <w:rsid w:val="008A1333"/>
    <w:rsid w:val="008A1CF2"/>
    <w:rsid w:val="008A257B"/>
    <w:rsid w:val="008A5614"/>
    <w:rsid w:val="008A5687"/>
    <w:rsid w:val="008A5F1E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6F68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197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661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2791"/>
    <w:rsid w:val="009A4983"/>
    <w:rsid w:val="009A4F4D"/>
    <w:rsid w:val="009A6DFC"/>
    <w:rsid w:val="009B0884"/>
    <w:rsid w:val="009B0DDB"/>
    <w:rsid w:val="009B0EFF"/>
    <w:rsid w:val="009C0A54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07535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2E8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2D0B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1C7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45F9"/>
    <w:rsid w:val="00CC4E2C"/>
    <w:rsid w:val="00CC6842"/>
    <w:rsid w:val="00CC6E5B"/>
    <w:rsid w:val="00CD1395"/>
    <w:rsid w:val="00CD322C"/>
    <w:rsid w:val="00CD40B9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AFF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3F6B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65D13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14D2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689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07B"/>
    <w:rsid w:val="00ED51DD"/>
    <w:rsid w:val="00EE2B49"/>
    <w:rsid w:val="00EE2DF8"/>
    <w:rsid w:val="00EE48E5"/>
    <w:rsid w:val="00EE5C02"/>
    <w:rsid w:val="00EE5ED6"/>
    <w:rsid w:val="00EE7581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109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05B9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4B3"/>
    <w:rsid w:val="00F64909"/>
    <w:rsid w:val="00F65C2B"/>
    <w:rsid w:val="00F67D10"/>
    <w:rsid w:val="00F704FE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0B"/>
    <w:rsid w:val="00FE3461"/>
    <w:rsid w:val="00FE421E"/>
    <w:rsid w:val="00FE4FF0"/>
    <w:rsid w:val="00FE5831"/>
    <w:rsid w:val="00FE5F1F"/>
    <w:rsid w:val="00FE6640"/>
    <w:rsid w:val="00FE7124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E7A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1D5B32"/>
    <w:pPr>
      <w:keepNext/>
      <w:bidi/>
      <w:jc w:val="both"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1D5B32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9500C0-4FCC-4E80-A560-327AB1C5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1147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8448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8</cp:revision>
  <cp:lastPrinted>2019-02-14T08:13:00Z</cp:lastPrinted>
  <dcterms:created xsi:type="dcterms:W3CDTF">2019-04-03T20:08:00Z</dcterms:created>
  <dcterms:modified xsi:type="dcterms:W3CDTF">2020-02-21T19:38:00Z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